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4D1" w:rsidRDefault="007814D1">
      <w:pPr>
        <w:rPr>
          <w:lang w:val="en-US"/>
        </w:rPr>
      </w:pPr>
    </w:p>
    <w:tbl>
      <w:tblPr>
        <w:tblStyle w:val="TableGrid"/>
        <w:tblpPr w:leftFromText="141" w:rightFromText="141" w:vertAnchor="text" w:tblpXSpec="center" w:tblpY="1"/>
        <w:tblOverlap w:val="never"/>
        <w:tblW w:w="10910" w:type="dxa"/>
        <w:tblLook w:val="04A0" w:firstRow="1" w:lastRow="0" w:firstColumn="1" w:lastColumn="0" w:noHBand="0" w:noVBand="1"/>
      </w:tblPr>
      <w:tblGrid>
        <w:gridCol w:w="1271"/>
        <w:gridCol w:w="5103"/>
        <w:gridCol w:w="4536"/>
      </w:tblGrid>
      <w:tr w:rsidR="00A404E3" w:rsidTr="00AD4962">
        <w:tc>
          <w:tcPr>
            <w:tcW w:w="1271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35BC">
              <w:rPr>
                <w:rFonts w:ascii="Times New Roman" w:hAnsi="Times New Roman" w:cs="Times New Roman"/>
                <w:b/>
              </w:rPr>
              <w:t>№</w:t>
            </w:r>
            <w:r w:rsidR="00947B7E">
              <w:rPr>
                <w:rFonts w:ascii="Times New Roman" w:hAnsi="Times New Roman" w:cs="Times New Roman"/>
                <w:b/>
              </w:rPr>
              <w:t xml:space="preserve"> на риска</w:t>
            </w:r>
          </w:p>
        </w:tc>
        <w:tc>
          <w:tcPr>
            <w:tcW w:w="5103" w:type="dxa"/>
            <w:vAlign w:val="center"/>
          </w:tcPr>
          <w:p w:rsidR="00A404E3" w:rsidRPr="00A404E3" w:rsidRDefault="00A404E3" w:rsidP="00AD496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404E3">
              <w:rPr>
                <w:rFonts w:ascii="Times New Roman" w:hAnsi="Times New Roman" w:cs="Times New Roman"/>
                <w:b/>
              </w:rPr>
              <w:t>Наименование на риска</w:t>
            </w:r>
          </w:p>
        </w:tc>
        <w:tc>
          <w:tcPr>
            <w:tcW w:w="4536" w:type="dxa"/>
            <w:vAlign w:val="center"/>
          </w:tcPr>
          <w:p w:rsidR="00A404E3" w:rsidRPr="00A404E3" w:rsidRDefault="00947B7E" w:rsidP="00AD4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Компетентен</w:t>
            </w:r>
            <w:r w:rsidR="00A404E3">
              <w:rPr>
                <w:rFonts w:ascii="Times New Roman" w:hAnsi="Times New Roman" w:cs="Times New Roman"/>
                <w:b/>
              </w:rPr>
              <w:t xml:space="preserve"> отдел</w:t>
            </w:r>
          </w:p>
        </w:tc>
      </w:tr>
      <w:tr w:rsidR="00A404E3" w:rsidTr="00AD4962"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SR 1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оценяващата комисия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AD4962">
        <w:trPr>
          <w:trHeight w:val="540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t>SR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Декларации на кандидатите с невярно съдържание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AD4962">
        <w:trPr>
          <w:trHeight w:val="409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t>SR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4536" w:type="dxa"/>
            <w:vAlign w:val="center"/>
          </w:tcPr>
          <w:p w:rsidR="00A404E3" w:rsidRPr="00A404E3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AD4962">
        <w:trPr>
          <w:trHeight w:val="415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IR 1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Недеклариран конфликт на интереси или подкупи и комисиони</w:t>
            </w:r>
          </w:p>
        </w:tc>
        <w:tc>
          <w:tcPr>
            <w:tcW w:w="4536" w:type="dxa"/>
            <w:vAlign w:val="center"/>
          </w:tcPr>
          <w:p w:rsidR="00A404E3" w:rsidRPr="00AD4962" w:rsidRDefault="00A404E3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AD4962">
        <w:trPr>
          <w:trHeight w:val="421"/>
        </w:trPr>
        <w:tc>
          <w:tcPr>
            <w:tcW w:w="1271" w:type="dxa"/>
            <w:vAlign w:val="center"/>
          </w:tcPr>
          <w:p w:rsid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IR 2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Избягване на необходимата състезателна процедура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2F79CD">
        <w:trPr>
          <w:trHeight w:val="413"/>
        </w:trPr>
        <w:tc>
          <w:tcPr>
            <w:tcW w:w="1271" w:type="dxa"/>
          </w:tcPr>
          <w:p w:rsidR="00AD4962" w:rsidRPr="00AD4962" w:rsidRDefault="00AD4962" w:rsidP="00AD4962">
            <w:r>
              <w:rPr>
                <w:lang w:val="en-US"/>
              </w:rPr>
              <w:t xml:space="preserve">IR </w:t>
            </w:r>
            <w:r>
              <w:t>3</w:t>
            </w:r>
          </w:p>
        </w:tc>
        <w:tc>
          <w:tcPr>
            <w:tcW w:w="5103" w:type="dxa"/>
            <w:vAlign w:val="center"/>
          </w:tcPr>
          <w:p w:rsidR="00AD4962" w:rsidRPr="007C35BC" w:rsidRDefault="00AD4962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962">
              <w:rPr>
                <w:rFonts w:ascii="Times New Roman" w:hAnsi="Times New Roman" w:cs="Times New Roman"/>
                <w:sz w:val="20"/>
                <w:szCs w:val="20"/>
              </w:rPr>
              <w:t>Манипулация на процеса на състезателната процедура</w:t>
            </w:r>
          </w:p>
        </w:tc>
        <w:tc>
          <w:tcPr>
            <w:tcW w:w="4536" w:type="dxa"/>
            <w:vAlign w:val="center"/>
          </w:tcPr>
          <w:p w:rsidR="00AD4962" w:rsidRPr="00AD4962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8"/>
        </w:trPr>
        <w:tc>
          <w:tcPr>
            <w:tcW w:w="1271" w:type="dxa"/>
          </w:tcPr>
          <w:p w:rsidR="00AD4962" w:rsidRPr="00AD4962" w:rsidRDefault="00AD4962" w:rsidP="00AD4962">
            <w:r>
              <w:rPr>
                <w:lang w:val="en-US"/>
              </w:rPr>
              <w:t xml:space="preserve">IR </w:t>
            </w:r>
            <w:r>
              <w:t>4</w:t>
            </w:r>
          </w:p>
        </w:tc>
        <w:tc>
          <w:tcPr>
            <w:tcW w:w="5103" w:type="dxa"/>
            <w:vAlign w:val="center"/>
          </w:tcPr>
          <w:p w:rsidR="00AD4962" w:rsidRPr="007C35BC" w:rsidRDefault="00AD4962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962">
              <w:rPr>
                <w:rFonts w:ascii="Times New Roman" w:hAnsi="Times New Roman" w:cs="Times New Roman"/>
                <w:sz w:val="20"/>
                <w:szCs w:val="20"/>
              </w:rPr>
              <w:t>Тайни споразумения за офериране</w:t>
            </w:r>
          </w:p>
        </w:tc>
        <w:tc>
          <w:tcPr>
            <w:tcW w:w="4536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5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Неправилно ценообразуване</w:t>
            </w:r>
          </w:p>
        </w:tc>
        <w:tc>
          <w:tcPr>
            <w:tcW w:w="4536" w:type="dxa"/>
            <w:vAlign w:val="center"/>
          </w:tcPr>
          <w:p w:rsidR="00AD4962" w:rsidRPr="00947B7E" w:rsidRDefault="00AD4962" w:rsidP="004675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6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Манипулиране на декларации за разходи</w:t>
            </w:r>
          </w:p>
        </w:tc>
        <w:tc>
          <w:tcPr>
            <w:tcW w:w="4536" w:type="dxa"/>
            <w:vAlign w:val="center"/>
          </w:tcPr>
          <w:p w:rsidR="00AD4962" w:rsidRPr="00947B7E" w:rsidRDefault="00AD4962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7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Недоставяне или заместване на продукти</w:t>
            </w:r>
          </w:p>
        </w:tc>
        <w:tc>
          <w:tcPr>
            <w:tcW w:w="4536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2F79CD">
        <w:trPr>
          <w:trHeight w:val="410"/>
        </w:trPr>
        <w:tc>
          <w:tcPr>
            <w:tcW w:w="1271" w:type="dxa"/>
          </w:tcPr>
          <w:p w:rsidR="00947B7E" w:rsidRDefault="00947B7E" w:rsidP="00947B7E">
            <w:r w:rsidRPr="00B656EF">
              <w:rPr>
                <w:lang w:val="en-US"/>
              </w:rPr>
              <w:t xml:space="preserve">IR </w:t>
            </w:r>
            <w:r>
              <w:t>8</w:t>
            </w:r>
          </w:p>
        </w:tc>
        <w:tc>
          <w:tcPr>
            <w:tcW w:w="5103" w:type="dxa"/>
            <w:vAlign w:val="center"/>
          </w:tcPr>
          <w:p w:rsidR="00947B7E" w:rsidRPr="007C35BC" w:rsidRDefault="00947B7E" w:rsidP="0094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Изменение на действащ 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2F79CD">
        <w:trPr>
          <w:trHeight w:val="410"/>
        </w:trPr>
        <w:tc>
          <w:tcPr>
            <w:tcW w:w="1271" w:type="dxa"/>
          </w:tcPr>
          <w:p w:rsidR="00947B7E" w:rsidRDefault="00947B7E" w:rsidP="00947B7E">
            <w:r w:rsidRPr="00B656EF">
              <w:rPr>
                <w:lang w:val="en-US"/>
              </w:rPr>
              <w:t xml:space="preserve">IR </w:t>
            </w:r>
            <w:r>
              <w:t>9</w:t>
            </w:r>
          </w:p>
        </w:tc>
        <w:tc>
          <w:tcPr>
            <w:tcW w:w="5103" w:type="dxa"/>
            <w:vAlign w:val="center"/>
          </w:tcPr>
          <w:p w:rsidR="00947B7E" w:rsidRPr="007C35BC" w:rsidRDefault="00947B7E" w:rsidP="0094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Завишено отчитане на качеството или дейностите на персонала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Default="007814D1" w:rsidP="007814D1">
            <w:r>
              <w:t>IR 10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Фиктивни разходи за труд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Default="007814D1" w:rsidP="007814D1">
            <w:r>
              <w:t>IR 11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Разходите за труд са разпределени неправилно по определени проекти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F47F4">
              <w:t xml:space="preserve">R </w:t>
            </w:r>
            <w:r>
              <w:rPr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Непълен / неадекватен процес на проверка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R </w:t>
            </w:r>
            <w:r>
              <w:rPr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Непълен / неадекватен процес на сертифициране на разходите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lastRenderedPageBreak/>
              <w:t xml:space="preserve">CR </w:t>
            </w:r>
            <w:r>
              <w:rPr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УО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r>
              <w:rPr>
                <w:lang w:val="en-US"/>
              </w:rPr>
              <w:t xml:space="preserve">CR </w:t>
            </w:r>
            <w:r>
              <w:t>4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сертифициращия орган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t xml:space="preserve">R </w:t>
            </w:r>
            <w:r>
              <w:rPr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Избягване на необходимата състезателна процедура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7814D1">
        <w:trPr>
          <w:trHeight w:val="569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 w:rsidRPr="004D1DA7">
              <w:rPr>
                <w:lang w:val="en-US"/>
              </w:rPr>
              <w:t>P</w:t>
            </w:r>
            <w:r>
              <w:t xml:space="preserve">R </w:t>
            </w:r>
            <w:r>
              <w:rPr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Манипулация на процеса на състезателната процедура</w:t>
            </w:r>
          </w:p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 w:rsidRPr="004D1DA7">
              <w:rPr>
                <w:lang w:val="en-US"/>
              </w:rPr>
              <w:t>P</w:t>
            </w:r>
            <w:r>
              <w:t xml:space="preserve">R </w:t>
            </w:r>
            <w:r w:rsidR="007B00D3">
              <w:rPr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Недеклариран конфликт на интереси или подкупи и комисиони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67CF9" w:rsidRDefault="00067CF9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947B7E" w:rsidSect="008363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81" w:rsidRDefault="00C43A81" w:rsidP="00CF19E3">
      <w:pPr>
        <w:spacing w:after="0" w:line="240" w:lineRule="auto"/>
      </w:pPr>
      <w:r>
        <w:separator/>
      </w:r>
    </w:p>
  </w:endnote>
  <w:endnote w:type="continuationSeparator" w:id="0">
    <w:p w:rsidR="00C43A81" w:rsidRDefault="00C43A81" w:rsidP="00CF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31A" w:rsidRDefault="008363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9E3" w:rsidRDefault="00CF19E3" w:rsidP="00CF19E3">
    <w:pPr>
      <w:pStyle w:val="Footer"/>
      <w:rPr>
        <w:b/>
        <w:i/>
        <w:sz w:val="24"/>
        <w:szCs w:val="24"/>
      </w:rPr>
    </w:pPr>
  </w:p>
  <w:p w:rsidR="00CF19E3" w:rsidRDefault="00CF19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31A" w:rsidRDefault="008363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81" w:rsidRDefault="00C43A81" w:rsidP="00CF19E3">
      <w:pPr>
        <w:spacing w:after="0" w:line="240" w:lineRule="auto"/>
      </w:pPr>
      <w:r>
        <w:separator/>
      </w:r>
    </w:p>
  </w:footnote>
  <w:footnote w:type="continuationSeparator" w:id="0">
    <w:p w:rsidR="00C43A81" w:rsidRDefault="00C43A81" w:rsidP="00CF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31A" w:rsidRDefault="008363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31A" w:rsidRDefault="0083631A">
    <w:pPr>
      <w:pStyle w:val="Header"/>
    </w:pPr>
  </w:p>
  <w:p w:rsidR="0083631A" w:rsidRDefault="0083631A">
    <w:pPr>
      <w:pStyle w:val="Header"/>
    </w:pPr>
  </w:p>
  <w:p w:rsidR="0083631A" w:rsidRDefault="0083631A">
    <w:pPr>
      <w:pStyle w:val="Header"/>
      <w:rPr>
        <w:lang w:val="en-US"/>
      </w:rPr>
    </w:pPr>
    <w:bookmarkStart w:id="0" w:name="_GoBack"/>
    <w:bookmarkEnd w:id="0"/>
  </w:p>
  <w:p w:rsidR="0083631A" w:rsidRDefault="0083631A">
    <w:pPr>
      <w:pStyle w:val="Header"/>
      <w:rPr>
        <w:lang w:val="en-US"/>
      </w:rPr>
    </w:pPr>
  </w:p>
  <w:p w:rsidR="0083631A" w:rsidRDefault="0083631A">
    <w:pPr>
      <w:pStyle w:val="Header"/>
      <w:rPr>
        <w:lang w:val="en-US"/>
      </w:rPr>
    </w:pPr>
  </w:p>
  <w:p w:rsidR="0083631A" w:rsidRDefault="0083631A">
    <w:pPr>
      <w:pStyle w:val="Header"/>
      <w:rPr>
        <w:lang w:val="en-US"/>
      </w:rPr>
    </w:pPr>
  </w:p>
  <w:tbl>
    <w:tblPr>
      <w:tblpPr w:leftFromText="141" w:rightFromText="141" w:vertAnchor="text" w:horzAnchor="margin" w:tblpXSpec="center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83631A" w:rsidRPr="003C256C" w:rsidTr="0083631A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3631A" w:rsidRPr="003C256C" w:rsidRDefault="0083631A" w:rsidP="0083631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b/>
              <w:lang w:eastAsia="pl-PL"/>
            </w:rPr>
          </w:pPr>
          <w:r>
            <w:rPr>
              <w:rFonts w:ascii="Times New Roman" w:eastAsia="Times New Roman" w:hAnsi="Times New Roman"/>
              <w:b/>
              <w:lang w:eastAsia="pl-PL"/>
            </w:rPr>
            <w:t>8.0</w:t>
          </w:r>
          <w:r>
            <w:rPr>
              <w:rFonts w:ascii="Times New Roman" w:eastAsia="Times New Roman" w:hAnsi="Times New Roman"/>
              <w:b/>
              <w:lang w:val="en-US" w:eastAsia="pl-PL"/>
            </w:rPr>
            <w:t>5-</w:t>
          </w:r>
          <w:r>
            <w:rPr>
              <w:rFonts w:ascii="Times New Roman" w:eastAsia="Times New Roman" w:hAnsi="Times New Roman"/>
              <w:b/>
              <w:lang w:eastAsia="pl-PL"/>
            </w:rPr>
            <w:t>част 1</w:t>
          </w:r>
        </w:p>
      </w:tc>
    </w:tr>
    <w:tr w:rsidR="0083631A" w:rsidRPr="003C256C" w:rsidTr="0083631A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3631A" w:rsidRPr="003126BC" w:rsidRDefault="003126BC" w:rsidP="0083631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/>
              <w:b/>
              <w:lang w:eastAsia="pl-PL"/>
            </w:rPr>
            <w:t>Разпределение за оценка на бруто риска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3631A" w:rsidRPr="003C256C" w:rsidRDefault="0083631A" w:rsidP="0083631A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both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 xml:space="preserve">   </w: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3126BC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3126BC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3C256C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83631A" w:rsidRPr="003C256C" w:rsidTr="0083631A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3631A" w:rsidRPr="003C256C" w:rsidRDefault="0083631A" w:rsidP="0083631A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spacing w:after="0" w:line="240" w:lineRule="auto"/>
            <w:rPr>
              <w:rFonts w:ascii="Arial" w:eastAsia="Times New Roman" w:hAnsi="Arial" w:cs="Arial"/>
              <w:i/>
              <w:sz w:val="10"/>
              <w:szCs w:val="10"/>
              <w:lang w:val="ru-RU" w:eastAsia="pl-PL"/>
            </w:rPr>
          </w:pPr>
        </w:p>
        <w:p w:rsidR="0083631A" w:rsidRPr="003C256C" w:rsidRDefault="0083631A" w:rsidP="0083631A">
          <w:pPr>
            <w:spacing w:after="0" w:line="240" w:lineRule="auto"/>
            <w:rPr>
              <w:rFonts w:ascii="Arial" w:eastAsia="Times New Roman" w:hAnsi="Arial" w:cs="Arial"/>
              <w:i/>
              <w:sz w:val="10"/>
              <w:szCs w:val="10"/>
              <w:lang w:val="ru-RU" w:eastAsia="pl-PL"/>
            </w:rPr>
          </w:pPr>
        </w:p>
        <w:p w:rsidR="0083631A" w:rsidRPr="003C256C" w:rsidRDefault="0083631A" w:rsidP="0083631A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  <w:r w:rsidRPr="003C256C"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  <w:t xml:space="preserve">   Инвестираме във Вашето бъдеще</w:t>
          </w:r>
        </w:p>
        <w:p w:rsidR="0083631A" w:rsidRPr="003C256C" w:rsidRDefault="0083631A" w:rsidP="0083631A">
          <w:pPr>
            <w:spacing w:before="120"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  <w:r w:rsidRPr="003C256C">
            <w:rPr>
              <w:rFonts w:ascii="Times New Roman" w:eastAsia="Times New Roman" w:hAnsi="Times New Roman"/>
              <w:noProof/>
              <w:color w:val="000000"/>
              <w:sz w:val="19"/>
              <w:szCs w:val="19"/>
              <w:lang w:eastAsia="bg-BG"/>
            </w:rPr>
            <w:drawing>
              <wp:inline distT="0" distB="0" distL="0" distR="0">
                <wp:extent cx="1066800" cy="807720"/>
                <wp:effectExtent l="0" t="0" r="0" b="0"/>
                <wp:docPr id="5" name="Picture 5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C256C"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  <w:t xml:space="preserve"> </w:t>
          </w:r>
        </w:p>
        <w:p w:rsidR="0083631A" w:rsidRPr="003C256C" w:rsidRDefault="0083631A" w:rsidP="0083631A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</w:p>
        <w:p w:rsidR="0083631A" w:rsidRPr="003C256C" w:rsidRDefault="0083631A" w:rsidP="0083631A">
          <w:pPr>
            <w:spacing w:after="0" w:line="240" w:lineRule="auto"/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</w:pPr>
          <w:r w:rsidRPr="003C256C">
            <w:rPr>
              <w:rFonts w:ascii="Arial" w:eastAsia="Times New Roman" w:hAnsi="Arial" w:cs="Arial"/>
              <w:sz w:val="16"/>
              <w:szCs w:val="16"/>
              <w:lang w:val="ru-RU" w:eastAsia="pl-PL"/>
            </w:rPr>
            <w:t xml:space="preserve">               </w:t>
          </w:r>
          <w:r w:rsidRPr="003C256C"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  <w:t>ЕВРОПЕЙСКИ СЪЮЗ</w:t>
          </w:r>
        </w:p>
        <w:p w:rsidR="0083631A" w:rsidRPr="003C256C" w:rsidRDefault="0083631A" w:rsidP="0083631A">
          <w:pPr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C256C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ЕВРОПЕЙСКИ ФОНД</w:t>
          </w:r>
        </w:p>
        <w:p w:rsidR="0083631A" w:rsidRPr="003C256C" w:rsidRDefault="0083631A" w:rsidP="0083631A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C256C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ЗА РЕГИОНАЛНО РАЗВИТИЕ</w:t>
          </w:r>
        </w:p>
        <w:p w:rsidR="0083631A" w:rsidRPr="003C256C" w:rsidRDefault="0083631A" w:rsidP="0083631A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C256C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КОХЕЗИОНЕН ФОНД</w:t>
          </w:r>
        </w:p>
        <w:p w:rsidR="0083631A" w:rsidRPr="003C256C" w:rsidRDefault="0083631A" w:rsidP="0083631A">
          <w:pPr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ru-RU" w:eastAsia="pl-PL"/>
            </w:rPr>
          </w:pP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3126BC" w:rsidP="0083631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sz w:val="20"/>
              <w:szCs w:val="20"/>
              <w:lang w:val="pl-PL"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4pt;height:93.6pt">
                <v:imagedata r:id="rId2" o:title=""/>
              </v:shape>
            </w:pic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</w:pP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IV</w:t>
          </w:r>
          <w:r w:rsidRPr="003C256C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 xml:space="preserve"> 201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7</w:t>
          </w:r>
        </w:p>
      </w:tc>
    </w:tr>
    <w:tr w:rsidR="0083631A" w:rsidRPr="003C256C" w:rsidTr="0083631A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 xml:space="preserve"> на</w:t>
          </w:r>
        </w:p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3C256C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19"/>
              <w:szCs w:val="19"/>
              <w:lang w:eastAsia="bg-BG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3631A" w:rsidRPr="003C256C" w:rsidRDefault="0083631A" w:rsidP="0083631A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</w:pPr>
          <w:r w:rsidRPr="003C256C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3</w:t>
          </w:r>
          <w:r w:rsidRPr="003C256C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.0</w:t>
          </w:r>
        </w:p>
      </w:tc>
    </w:tr>
  </w:tbl>
  <w:p w:rsidR="0083631A" w:rsidRPr="0083631A" w:rsidRDefault="0083631A">
    <w:pPr>
      <w:pStyle w:val="Header"/>
      <w:rPr>
        <w:lang w:val="en-US"/>
      </w:rPr>
    </w:pPr>
  </w:p>
  <w:p w:rsidR="0083631A" w:rsidRDefault="0083631A">
    <w:pPr>
      <w:pStyle w:val="Header"/>
    </w:pPr>
  </w:p>
  <w:p w:rsidR="0083631A" w:rsidRDefault="008363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31A" w:rsidRDefault="008363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D15E1"/>
    <w:multiLevelType w:val="hybridMultilevel"/>
    <w:tmpl w:val="D2B4DA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E"/>
    <w:rsid w:val="0004515C"/>
    <w:rsid w:val="00064444"/>
    <w:rsid w:val="00067CF9"/>
    <w:rsid w:val="000F1198"/>
    <w:rsid w:val="001075F5"/>
    <w:rsid w:val="001E5B12"/>
    <w:rsid w:val="001F384E"/>
    <w:rsid w:val="00224A54"/>
    <w:rsid w:val="00253490"/>
    <w:rsid w:val="002827E9"/>
    <w:rsid w:val="002E5BF5"/>
    <w:rsid w:val="003126BC"/>
    <w:rsid w:val="00320334"/>
    <w:rsid w:val="003B793E"/>
    <w:rsid w:val="003C7D10"/>
    <w:rsid w:val="003D3DD9"/>
    <w:rsid w:val="00407A38"/>
    <w:rsid w:val="00437A99"/>
    <w:rsid w:val="004446F3"/>
    <w:rsid w:val="00466C1A"/>
    <w:rsid w:val="00467573"/>
    <w:rsid w:val="004F50D4"/>
    <w:rsid w:val="00525167"/>
    <w:rsid w:val="0059465B"/>
    <w:rsid w:val="005D4982"/>
    <w:rsid w:val="005D5CA5"/>
    <w:rsid w:val="00602142"/>
    <w:rsid w:val="00624FE3"/>
    <w:rsid w:val="00631074"/>
    <w:rsid w:val="00655941"/>
    <w:rsid w:val="00663DE1"/>
    <w:rsid w:val="006B52CB"/>
    <w:rsid w:val="007814D1"/>
    <w:rsid w:val="00790CE8"/>
    <w:rsid w:val="007B00D3"/>
    <w:rsid w:val="007C35BC"/>
    <w:rsid w:val="007D75AC"/>
    <w:rsid w:val="007E077C"/>
    <w:rsid w:val="007F0841"/>
    <w:rsid w:val="00821512"/>
    <w:rsid w:val="0083631A"/>
    <w:rsid w:val="0088621C"/>
    <w:rsid w:val="009419E5"/>
    <w:rsid w:val="009475E1"/>
    <w:rsid w:val="00947B7E"/>
    <w:rsid w:val="00A404E3"/>
    <w:rsid w:val="00A42754"/>
    <w:rsid w:val="00AD4962"/>
    <w:rsid w:val="00AF51CD"/>
    <w:rsid w:val="00B63B57"/>
    <w:rsid w:val="00C43A81"/>
    <w:rsid w:val="00C736EA"/>
    <w:rsid w:val="00CF19E3"/>
    <w:rsid w:val="00D93334"/>
    <w:rsid w:val="00DA5352"/>
    <w:rsid w:val="00DD4D67"/>
    <w:rsid w:val="00E301D8"/>
    <w:rsid w:val="00F015B3"/>
    <w:rsid w:val="00F04074"/>
    <w:rsid w:val="00F11F00"/>
    <w:rsid w:val="00F21D35"/>
    <w:rsid w:val="00F531AF"/>
    <w:rsid w:val="00F9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42307-F0F4-438D-ACEE-ACFA16D3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9E3"/>
  </w:style>
  <w:style w:type="paragraph" w:styleId="Footer">
    <w:name w:val="footer"/>
    <w:basedOn w:val="Normal"/>
    <w:link w:val="Foot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BDA78-1E3C-4DBA-9AAA-B1848632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Ivan Stanoev</cp:lastModifiedBy>
  <cp:revision>18</cp:revision>
  <cp:lastPrinted>2016-12-19T08:03:00Z</cp:lastPrinted>
  <dcterms:created xsi:type="dcterms:W3CDTF">2015-03-12T08:02:00Z</dcterms:created>
  <dcterms:modified xsi:type="dcterms:W3CDTF">2017-04-07T08:28:00Z</dcterms:modified>
</cp:coreProperties>
</file>