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C7" w:rsidRPr="00C1546A" w:rsidRDefault="00E67FC7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E67FC7" w:rsidRDefault="00E67FC7" w:rsidP="00C84765">
      <w:pPr>
        <w:rPr>
          <w:b/>
        </w:rPr>
      </w:pPr>
    </w:p>
    <w:p w:rsidR="00E67FC7" w:rsidRDefault="00E67FC7" w:rsidP="00C84765">
      <w:pPr>
        <w:rPr>
          <w:b/>
        </w:rPr>
      </w:pPr>
    </w:p>
    <w:p w:rsidR="00E67FC7" w:rsidRDefault="00E67FC7" w:rsidP="00C84765">
      <w:pPr>
        <w:rPr>
          <w:b/>
        </w:rPr>
      </w:pPr>
    </w:p>
    <w:p w:rsidR="00E67FC7" w:rsidRPr="00C1546A" w:rsidRDefault="00E67FC7" w:rsidP="009D4E53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E67FC7" w:rsidRDefault="00E67FC7" w:rsidP="009D4E53">
      <w:pPr>
        <w:rPr>
          <w:b/>
        </w:rPr>
      </w:pPr>
      <w:r>
        <w:rPr>
          <w:b/>
        </w:rPr>
        <w:t xml:space="preserve"> </w:t>
      </w:r>
    </w:p>
    <w:p w:rsidR="00E67FC7" w:rsidRPr="00C1546A" w:rsidRDefault="00E67FC7" w:rsidP="009D4E53">
      <w:pPr>
        <w:rPr>
          <w:b/>
        </w:rPr>
      </w:pPr>
      <w:r>
        <w:rPr>
          <w:b/>
        </w:rPr>
        <w:t>Номер на поръчката в АОП:</w:t>
      </w:r>
    </w:p>
    <w:p w:rsidR="00E67FC7" w:rsidRPr="00C1546A" w:rsidRDefault="00E67FC7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87"/>
        <w:gridCol w:w="1554"/>
        <w:gridCol w:w="1555"/>
        <w:gridCol w:w="1554"/>
        <w:gridCol w:w="1708"/>
        <w:gridCol w:w="1567"/>
        <w:gridCol w:w="1563"/>
        <w:gridCol w:w="783"/>
        <w:gridCol w:w="784"/>
        <w:gridCol w:w="1565"/>
      </w:tblGrid>
      <w:tr w:rsidR="00E67FC7" w:rsidTr="0025287B">
        <w:trPr>
          <w:tblHeader/>
        </w:trPr>
        <w:tc>
          <w:tcPr>
            <w:tcW w:w="1587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 xml:space="preserve">Дата на </w:t>
            </w:r>
            <w:r w:rsidRPr="0025287B">
              <w:rPr>
                <w:b/>
                <w:sz w:val="20"/>
                <w:szCs w:val="20"/>
                <w:u w:val="single"/>
              </w:rPr>
              <w:t>ИЗПРАЩАНЕ</w:t>
            </w:r>
            <w:r w:rsidRPr="0025287B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4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ОВ</w:t>
            </w:r>
          </w:p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54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708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gridSpan w:val="2"/>
            <w:shd w:val="clear" w:color="auto" w:fill="EAF1DD"/>
          </w:tcPr>
          <w:p w:rsidR="00E67FC7" w:rsidRPr="0025287B" w:rsidRDefault="00E67FC7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565" w:type="dxa"/>
            <w:shd w:val="clear" w:color="auto" w:fill="EAF1DD"/>
          </w:tcPr>
          <w:p w:rsidR="00E67FC7" w:rsidRPr="0025287B" w:rsidRDefault="00642982" w:rsidP="0025287B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25287B">
              <w:rPr>
                <w:b/>
                <w:sz w:val="20"/>
                <w:szCs w:val="20"/>
              </w:rPr>
              <w:t>Стойност</w:t>
            </w:r>
            <w:r>
              <w:rPr>
                <w:b/>
                <w:sz w:val="20"/>
                <w:szCs w:val="20"/>
              </w:rPr>
              <w:t xml:space="preserve"> на поръчката</w:t>
            </w:r>
          </w:p>
        </w:tc>
      </w:tr>
      <w:tr w:rsidR="00E67FC7" w:rsidTr="0025287B">
        <w:tc>
          <w:tcPr>
            <w:tcW w:w="1587" w:type="dxa"/>
            <w:shd w:val="clear" w:color="auto" w:fill="F2DBDB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gridSpan w:val="2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</w:tr>
      <w:tr w:rsidR="00E67FC7" w:rsidTr="0025287B">
        <w:tc>
          <w:tcPr>
            <w:tcW w:w="1587" w:type="dxa"/>
            <w:shd w:val="clear" w:color="auto" w:fill="FDE9D9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gridSpan w:val="2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5" w:type="dxa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</w:tr>
      <w:tr w:rsidR="00E67FC7" w:rsidTr="00006446">
        <w:tc>
          <w:tcPr>
            <w:tcW w:w="1587" w:type="dxa"/>
            <w:shd w:val="clear" w:color="auto" w:fill="E5DFEC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5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708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3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783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А.</w:t>
            </w:r>
          </w:p>
        </w:tc>
        <w:tc>
          <w:tcPr>
            <w:tcW w:w="784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Б.</w:t>
            </w:r>
          </w:p>
        </w:tc>
        <w:tc>
          <w:tcPr>
            <w:tcW w:w="156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  <w:tr w:rsidR="00E67FC7" w:rsidTr="0025287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25287B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4" w:type="dxa"/>
            <w:vMerge w:val="restart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5" w:type="dxa"/>
            <w:vMerge w:val="restart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25287B" w:rsidRDefault="00E67FC7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  <w:r w:rsidRPr="0025287B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  <w:gridSpan w:val="2"/>
            <w:vMerge w:val="restart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5" w:type="dxa"/>
            <w:vMerge w:val="restart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  <w:tr w:rsidR="00E67FC7" w:rsidTr="0025287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E67FC7" w:rsidRPr="0025287B" w:rsidRDefault="00E67FC7" w:rsidP="0025287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5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7" w:type="dxa"/>
            <w:gridSpan w:val="2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  <w:tc>
          <w:tcPr>
            <w:tcW w:w="1565" w:type="dxa"/>
            <w:vMerge/>
          </w:tcPr>
          <w:p w:rsidR="00E67FC7" w:rsidRPr="00840118" w:rsidRDefault="00E67FC7" w:rsidP="000358CF">
            <w:pPr>
              <w:rPr>
                <w:b/>
                <w:lang w:val="ru-RU"/>
              </w:rPr>
            </w:pPr>
          </w:p>
        </w:tc>
      </w:tr>
    </w:tbl>
    <w:p w:rsidR="00E67FC7" w:rsidRPr="00C1546A" w:rsidRDefault="00E67FC7" w:rsidP="00C84765">
      <w:pPr>
        <w:rPr>
          <w:b/>
        </w:rPr>
      </w:pPr>
    </w:p>
    <w:p w:rsidR="00E67FC7" w:rsidRPr="00C1546A" w:rsidRDefault="00E67FC7" w:rsidP="00C84765">
      <w:pPr>
        <w:rPr>
          <w:sz w:val="20"/>
          <w:szCs w:val="20"/>
        </w:rPr>
      </w:pPr>
    </w:p>
    <w:p w:rsidR="00E67FC7" w:rsidRPr="00C1546A" w:rsidRDefault="00E67FC7" w:rsidP="00C84765">
      <w:pPr>
        <w:rPr>
          <w:sz w:val="20"/>
          <w:szCs w:val="20"/>
        </w:rPr>
      </w:pPr>
    </w:p>
    <w:p w:rsidR="00E67FC7" w:rsidRPr="00C1546A" w:rsidRDefault="00E67FC7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открита преди 26.02.2012 г.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lastRenderedPageBreak/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E67FC7" w:rsidRPr="00C1546A" w:rsidRDefault="00E67FC7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642982" w:rsidRDefault="00E67FC7" w:rsidP="00BC3C7D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>
        <w:rPr>
          <w:sz w:val="20"/>
          <w:szCs w:val="20"/>
        </w:rPr>
        <w:t xml:space="preserve">А.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решението за промяна и </w:t>
      </w:r>
      <w:r w:rsidRPr="00BC3C7D">
        <w:rPr>
          <w:b/>
          <w:sz w:val="20"/>
          <w:szCs w:val="20"/>
          <w:u w:val="single"/>
        </w:rPr>
        <w:t>новия</w:t>
      </w:r>
      <w:r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E67FC7" w:rsidRPr="00C1546A" w:rsidRDefault="00642982" w:rsidP="00BC3C7D">
      <w:pPr>
        <w:spacing w:after="120"/>
        <w:ind w:left="2694" w:hanging="142"/>
        <w:jc w:val="both"/>
        <w:rPr>
          <w:sz w:val="20"/>
          <w:szCs w:val="20"/>
        </w:rPr>
      </w:pPr>
      <w:r>
        <w:rPr>
          <w:sz w:val="20"/>
          <w:szCs w:val="20"/>
        </w:rPr>
        <w:t>– Б.</w:t>
      </w:r>
      <w:r w:rsidR="00E67FC7">
        <w:rPr>
          <w:sz w:val="20"/>
          <w:szCs w:val="20"/>
        </w:rPr>
        <w:t xml:space="preserve"> </w:t>
      </w:r>
      <w:r w:rsidR="00E67FC7" w:rsidRPr="00C1546A">
        <w:rPr>
          <w:sz w:val="20"/>
          <w:szCs w:val="20"/>
        </w:rPr>
        <w:t xml:space="preserve">броят календарни дни между </w:t>
      </w:r>
      <w:r w:rsidR="00E67FC7">
        <w:rPr>
          <w:sz w:val="20"/>
          <w:szCs w:val="20"/>
        </w:rPr>
        <w:t xml:space="preserve">датата на изпращане на обявлението за обществена поръчка и </w:t>
      </w:r>
      <w:r w:rsidR="00E67FC7" w:rsidRPr="00BC3C7D">
        <w:rPr>
          <w:b/>
          <w:sz w:val="20"/>
          <w:szCs w:val="20"/>
        </w:rPr>
        <w:t>последния</w:t>
      </w:r>
      <w:r w:rsidR="00E67FC7">
        <w:rPr>
          <w:sz w:val="20"/>
          <w:szCs w:val="20"/>
        </w:rPr>
        <w:t xml:space="preserve"> краен срок за получаване на офертите.</w:t>
      </w:r>
    </w:p>
    <w:p w:rsidR="00E67FC7" w:rsidRPr="00C1546A" w:rsidRDefault="00E67FC7" w:rsidP="00C84765">
      <w:pPr>
        <w:rPr>
          <w:b/>
        </w:rPr>
      </w:pPr>
    </w:p>
    <w:p w:rsidR="00E67FC7" w:rsidRDefault="00E67FC7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E67FC7" w:rsidRPr="00C1546A" w:rsidRDefault="00E67FC7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E67FC7" w:rsidRPr="00C1546A" w:rsidRDefault="00E67FC7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E67FC7" w:rsidRPr="00C1546A" w:rsidRDefault="00E67FC7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E67FC7" w:rsidRPr="00C1546A" w:rsidRDefault="00E67FC7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E67FC7" w:rsidRPr="00C1546A" w:rsidRDefault="00E67FC7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E67FC7" w:rsidRPr="00C1546A" w:rsidRDefault="00E67FC7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E67FC7" w:rsidRPr="00C1546A" w:rsidSect="00D86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FDC" w:rsidRDefault="00EA6FDC" w:rsidP="00DC491E">
      <w:r>
        <w:separator/>
      </w:r>
    </w:p>
  </w:endnote>
  <w:endnote w:type="continuationSeparator" w:id="0">
    <w:p w:rsidR="00EA6FDC" w:rsidRDefault="00EA6FDC" w:rsidP="00DC4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47" w:rsidRDefault="00DF08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C7" w:rsidRDefault="00E47ECC">
    <w:pPr>
      <w:pStyle w:val="Footer"/>
      <w:jc w:val="right"/>
    </w:pPr>
    <w:r>
      <w:fldChar w:fldCharType="begin"/>
    </w:r>
    <w:r w:rsidR="004D662E">
      <w:instrText xml:space="preserve"> PAGE   \* MERGEFORMAT </w:instrText>
    </w:r>
    <w:r>
      <w:fldChar w:fldCharType="separate"/>
    </w:r>
    <w:r w:rsidR="00DF0847">
      <w:rPr>
        <w:noProof/>
      </w:rPr>
      <w:t>2</w:t>
    </w:r>
    <w:r>
      <w:rPr>
        <w:noProof/>
      </w:rPr>
      <w:fldChar w:fldCharType="end"/>
    </w:r>
  </w:p>
  <w:p w:rsidR="00E67FC7" w:rsidRDefault="00E67F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47" w:rsidRDefault="00DF08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FDC" w:rsidRDefault="00EA6FDC" w:rsidP="00DC491E">
      <w:r>
        <w:separator/>
      </w:r>
    </w:p>
  </w:footnote>
  <w:footnote w:type="continuationSeparator" w:id="0">
    <w:p w:rsidR="00EA6FDC" w:rsidRDefault="00EA6FDC" w:rsidP="00DC4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47" w:rsidRDefault="00DF08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FC7" w:rsidRPr="00DF0847" w:rsidRDefault="00E67FC7" w:rsidP="00DF0847">
    <w:pPr>
      <w:tabs>
        <w:tab w:val="center" w:pos="4153"/>
        <w:tab w:val="center" w:pos="4320"/>
        <w:tab w:val="right" w:pos="8306"/>
        <w:tab w:val="right" w:pos="8640"/>
      </w:tabs>
      <w:rPr>
        <w:b/>
        <w:i/>
        <w:sz w:val="22"/>
        <w:szCs w:val="22"/>
        <w:lang w:val="en-US"/>
      </w:rPr>
    </w:pPr>
  </w:p>
  <w:p w:rsidR="00E67FC7" w:rsidRPr="00DC491E" w:rsidRDefault="00DF0847" w:rsidP="00DF0847">
    <w:pPr>
      <w:tabs>
        <w:tab w:val="left" w:pos="10980"/>
      </w:tabs>
      <w:rPr>
        <w:rFonts w:ascii="Calibri" w:hAnsi="Calibri"/>
        <w:sz w:val="22"/>
        <w:szCs w:val="22"/>
        <w:lang w:eastAsia="en-US"/>
      </w:rPr>
    </w:pPr>
    <w:r>
      <w:rPr>
        <w:rFonts w:ascii="Calibri" w:hAnsi="Calibri"/>
        <w:sz w:val="22"/>
        <w:szCs w:val="22"/>
        <w:lang w:eastAsia="en-US"/>
      </w:rPr>
      <w:tab/>
    </w:r>
  </w:p>
  <w:p w:rsidR="00E67FC7" w:rsidRDefault="00E67FC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47" w:rsidRDefault="00DF08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02F"/>
    <w:rsid w:val="00006446"/>
    <w:rsid w:val="000358CF"/>
    <w:rsid w:val="00077AF3"/>
    <w:rsid w:val="00083B18"/>
    <w:rsid w:val="000A1E0F"/>
    <w:rsid w:val="0010372E"/>
    <w:rsid w:val="00154E9F"/>
    <w:rsid w:val="00177114"/>
    <w:rsid w:val="001948D9"/>
    <w:rsid w:val="00204183"/>
    <w:rsid w:val="0025287B"/>
    <w:rsid w:val="002848CB"/>
    <w:rsid w:val="003F78C3"/>
    <w:rsid w:val="00402445"/>
    <w:rsid w:val="0048122A"/>
    <w:rsid w:val="004D662E"/>
    <w:rsid w:val="005A2804"/>
    <w:rsid w:val="005D5037"/>
    <w:rsid w:val="00610B55"/>
    <w:rsid w:val="00642982"/>
    <w:rsid w:val="00655FD8"/>
    <w:rsid w:val="00666505"/>
    <w:rsid w:val="00745160"/>
    <w:rsid w:val="007B2DAF"/>
    <w:rsid w:val="007E74C5"/>
    <w:rsid w:val="008053DA"/>
    <w:rsid w:val="008073EA"/>
    <w:rsid w:val="00840118"/>
    <w:rsid w:val="009C3A77"/>
    <w:rsid w:val="009D4E53"/>
    <w:rsid w:val="00B403D1"/>
    <w:rsid w:val="00B45E70"/>
    <w:rsid w:val="00BB602F"/>
    <w:rsid w:val="00BC2570"/>
    <w:rsid w:val="00BC3C7D"/>
    <w:rsid w:val="00BD1FAF"/>
    <w:rsid w:val="00C1546A"/>
    <w:rsid w:val="00C84765"/>
    <w:rsid w:val="00C85075"/>
    <w:rsid w:val="00CC38DC"/>
    <w:rsid w:val="00CE1683"/>
    <w:rsid w:val="00D86885"/>
    <w:rsid w:val="00DC491E"/>
    <w:rsid w:val="00DF0847"/>
    <w:rsid w:val="00E47ECC"/>
    <w:rsid w:val="00E67FC7"/>
    <w:rsid w:val="00E923A9"/>
    <w:rsid w:val="00EA6FDC"/>
    <w:rsid w:val="00F3604D"/>
    <w:rsid w:val="00FC2962"/>
    <w:rsid w:val="00FC7D4A"/>
    <w:rsid w:val="00FD636E"/>
    <w:rsid w:val="00FE1610"/>
    <w:rsid w:val="00FE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creator>dburova</dc:creator>
  <cp:lastModifiedBy>Orlin</cp:lastModifiedBy>
  <cp:revision>3</cp:revision>
  <dcterms:created xsi:type="dcterms:W3CDTF">2015-06-13T09:41:00Z</dcterms:created>
  <dcterms:modified xsi:type="dcterms:W3CDTF">2015-06-13T12:20:00Z</dcterms:modified>
</cp:coreProperties>
</file>