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E7F" w:rsidRDefault="00133E7F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133E7F" w:rsidRDefault="00133E7F" w:rsidP="0028024C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33E7F" w:rsidRDefault="00133E7F" w:rsidP="00A54E36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33E7F" w:rsidRPr="00A54E36" w:rsidRDefault="00133E7F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133E7F" w:rsidRPr="00A4055D" w:rsidRDefault="00133E7F" w:rsidP="00A1781E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A4055D">
        <w:rPr>
          <w:rFonts w:ascii="Times New Roman" w:hAnsi="Times New Roman"/>
          <w:b/>
          <w:sz w:val="24"/>
          <w:szCs w:val="24"/>
        </w:rPr>
        <w:t>Номер на поръчката в АОП:</w:t>
      </w:r>
    </w:p>
    <w:p w:rsidR="00133E7F" w:rsidRPr="0040475A" w:rsidRDefault="00133E7F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6633"/>
        <w:gridCol w:w="1793"/>
        <w:gridCol w:w="2608"/>
        <w:gridCol w:w="2659"/>
      </w:tblGrid>
      <w:tr w:rsidR="00133E7F" w:rsidRPr="00D321F5" w:rsidTr="00D321F5">
        <w:tc>
          <w:tcPr>
            <w:tcW w:w="534" w:type="dxa"/>
            <w:shd w:val="clear" w:color="auto" w:fill="C2D69B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За подизпълнителя **</w:t>
            </w:r>
          </w:p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7" w:type="dxa"/>
            <w:shd w:val="clear" w:color="auto" w:fill="C2D69B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/Референция****</w:t>
            </w:r>
          </w:p>
        </w:tc>
      </w:tr>
      <w:tr w:rsidR="00133E7F" w:rsidRPr="00D321F5" w:rsidTr="00D321F5">
        <w:tc>
          <w:tcPr>
            <w:tcW w:w="534" w:type="dxa"/>
            <w:shd w:val="clear" w:color="auto" w:fill="C2D69B"/>
            <w:vAlign w:val="center"/>
          </w:tcPr>
          <w:p w:rsidR="00133E7F" w:rsidRPr="00D321F5" w:rsidRDefault="00133E7F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133E7F" w:rsidRPr="00D321F5" w:rsidRDefault="00133E7F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133E7F" w:rsidRPr="00D321F5" w:rsidRDefault="00133E7F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133E7F" w:rsidRPr="00D321F5" w:rsidRDefault="00133E7F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87" w:type="dxa"/>
            <w:shd w:val="clear" w:color="auto" w:fill="C2D69B"/>
            <w:vAlign w:val="center"/>
          </w:tcPr>
          <w:p w:rsidR="00133E7F" w:rsidRPr="00D321F5" w:rsidRDefault="00133E7F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 w:val="restart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610" w:type="dxa"/>
            <w:gridSpan w:val="4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чл. 47, ал. 1, ал. 2 и ал. 5 от ЗОП;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 w:val="restart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610" w:type="dxa"/>
            <w:gridSpan w:val="4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 w:val="restart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610" w:type="dxa"/>
            <w:gridSpan w:val="4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участници***;</w:t>
            </w:r>
          </w:p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3E7F" w:rsidRPr="005979B6" w:rsidRDefault="00133E7F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133E7F" w:rsidRPr="00962FF3" w:rsidRDefault="00133E7F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sz w:val="24"/>
          <w:szCs w:val="24"/>
        </w:rPr>
        <w:t>* Ако участникът е обединение, при проверката да се приложи чл. 56, ал. 3 от ЗОП.</w:t>
      </w:r>
    </w:p>
    <w:p w:rsidR="00133E7F" w:rsidRPr="00962FF3" w:rsidRDefault="00133E7F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56, ал. 2 от ЗОП. </w:t>
      </w:r>
      <w:r w:rsidR="005C32A4" w:rsidRPr="00A4055D">
        <w:rPr>
          <w:rFonts w:ascii="Times New Roman" w:hAnsi="Times New Roman"/>
          <w:b/>
          <w:sz w:val="24"/>
          <w:szCs w:val="24"/>
        </w:rPr>
        <w:t>Колона</w:t>
      </w:r>
      <w:r w:rsidR="005C32A4">
        <w:rPr>
          <w:rFonts w:ascii="Times New Roman" w:hAnsi="Times New Roman"/>
          <w:b/>
          <w:sz w:val="24"/>
          <w:szCs w:val="24"/>
        </w:rPr>
        <w:t xml:space="preserve"> 4 </w:t>
      </w:r>
      <w:r w:rsidRPr="00A4055D">
        <w:rPr>
          <w:rFonts w:ascii="Times New Roman" w:hAnsi="Times New Roman"/>
          <w:b/>
          <w:sz w:val="24"/>
          <w:szCs w:val="24"/>
        </w:rPr>
        <w:t xml:space="preserve">да се размножи и попълни според броя на подизпълнителите. </w:t>
      </w:r>
    </w:p>
    <w:p w:rsidR="00133E7F" w:rsidRPr="00962FF3" w:rsidRDefault="00133E7F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962FF3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133E7F" w:rsidRDefault="00133E7F" w:rsidP="00A4055D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***</w:t>
      </w:r>
      <w:r w:rsidRPr="00A4055D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A4055D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133E7F" w:rsidRDefault="00133E7F" w:rsidP="00A4055D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</w:t>
      </w:r>
      <w:r w:rsidR="005C32A4">
        <w:rPr>
          <w:rFonts w:ascii="Times New Roman" w:hAnsi="Times New Roman"/>
          <w:b/>
          <w:color w:val="0D0D0D"/>
          <w:sz w:val="24"/>
          <w:szCs w:val="24"/>
          <w:lang w:eastAsia="bg-BG"/>
        </w:rPr>
        <w:t>,</w:t>
      </w: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и отстранените участници.</w:t>
      </w:r>
    </w:p>
    <w:p w:rsidR="00133E7F" w:rsidRPr="00A4055D" w:rsidRDefault="00133E7F" w:rsidP="00A4055D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A4055D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05667B">
        <w:rPr>
          <w:rFonts w:ascii="Times New Roman" w:hAnsi="Times New Roman"/>
          <w:color w:val="0D0D0D"/>
          <w:sz w:val="24"/>
          <w:szCs w:val="24"/>
          <w:lang w:eastAsia="bg-BG"/>
        </w:rPr>
        <w:t>Експретът</w:t>
      </w:r>
      <w:r w:rsidR="005C32A4"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A4055D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133E7F" w:rsidRPr="00A4055D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A4055D"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A4055D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="005C32A4"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="005C32A4"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A4055D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133E7F" w:rsidRPr="00A4055D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A4055D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A4055D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133E7F" w:rsidRPr="00A4055D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lastRenderedPageBreak/>
        <w:t xml:space="preserve">анализира и да </w:t>
      </w:r>
      <w:r w:rsidRPr="00A4055D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направи заключение в резултат на проверката дали </w:t>
      </w:r>
      <w:r w:rsidRPr="00A4055D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A4055D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="005C32A4" w:rsidRPr="00133E7F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– за целта е необходимо да попълни отговор „Да/Не/ НП“ в колони 3 и 4 и коментар/ референция в колона 5</w:t>
      </w:r>
      <w:r w:rsidRPr="00A4055D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5C32A4" w:rsidRDefault="00133E7F" w:rsidP="00EF4C39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>П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роверката се отнася само до офертата на </w:t>
      </w:r>
      <w:r w:rsidRPr="00A4055D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 w:rsidR="005C32A4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133E7F" w:rsidRDefault="00133E7F" w:rsidP="00EF4C39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>Проверката за законосъобразността на отстраняването на другите участници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процедурата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се документира при отговорите на други въпроси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 проверка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от контролния лист и в тази връзка, при необходимост,  може да </w:t>
      </w:r>
      <w:r w:rsidR="0005667B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се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състави отделен допълнителен работен документ.</w:t>
      </w:r>
    </w:p>
    <w:p w:rsidR="00133E7F" w:rsidRPr="00A4055D" w:rsidRDefault="00133E7F" w:rsidP="00EF4C39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5C32A4" w:rsidRPr="00E36392" w:rsidRDefault="005C32A4" w:rsidP="005C32A4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одиторът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заключението..</w:t>
      </w:r>
    </w:p>
    <w:p w:rsidR="00133E7F" w:rsidRPr="00A4055D" w:rsidRDefault="00133E7F" w:rsidP="00A4055D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sectPr w:rsidR="00133E7F" w:rsidRPr="00A4055D" w:rsidSect="00D23A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F0E" w:rsidRDefault="00050F0E" w:rsidP="0028024C">
      <w:pPr>
        <w:spacing w:after="0" w:line="240" w:lineRule="auto"/>
      </w:pPr>
      <w:r>
        <w:separator/>
      </w:r>
    </w:p>
  </w:endnote>
  <w:endnote w:type="continuationSeparator" w:id="0">
    <w:p w:rsidR="00050F0E" w:rsidRDefault="00050F0E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3E9" w:rsidRDefault="00D153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7F" w:rsidRPr="0028024C" w:rsidRDefault="004D6B68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="00133E7F"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D153E9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133E7F" w:rsidRDefault="00133E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3E9" w:rsidRDefault="00D153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F0E" w:rsidRDefault="00050F0E" w:rsidP="0028024C">
      <w:pPr>
        <w:spacing w:after="0" w:line="240" w:lineRule="auto"/>
      </w:pPr>
      <w:r>
        <w:separator/>
      </w:r>
    </w:p>
  </w:footnote>
  <w:footnote w:type="continuationSeparator" w:id="0">
    <w:p w:rsidR="00050F0E" w:rsidRDefault="00050F0E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3E9" w:rsidRDefault="00D153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7F" w:rsidRPr="0028024C" w:rsidRDefault="00133E7F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7F" w:rsidRPr="00D23A0D" w:rsidRDefault="00133E7F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hAnsi="Times New Roman"/>
        <w:b/>
        <w:i/>
        <w:lang w:val="en-US" w:eastAsia="bg-BG"/>
      </w:rPr>
    </w:pPr>
  </w:p>
  <w:p w:rsidR="00133E7F" w:rsidRPr="00D23A0D" w:rsidRDefault="00133E7F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hAnsi="Times New Roman"/>
        <w:b/>
        <w:i/>
        <w:lang w:val="en-US" w:eastAsia="bg-BG"/>
      </w:rPr>
    </w:pPr>
  </w:p>
  <w:p w:rsidR="00133E7F" w:rsidRDefault="00133E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4EB"/>
    <w:rsid w:val="00050F0E"/>
    <w:rsid w:val="0005667B"/>
    <w:rsid w:val="00087002"/>
    <w:rsid w:val="00094047"/>
    <w:rsid w:val="000A2AB6"/>
    <w:rsid w:val="000D6C5A"/>
    <w:rsid w:val="001311BC"/>
    <w:rsid w:val="00133E7F"/>
    <w:rsid w:val="001D4825"/>
    <w:rsid w:val="00226055"/>
    <w:rsid w:val="0028024C"/>
    <w:rsid w:val="002B4BBD"/>
    <w:rsid w:val="002D70D0"/>
    <w:rsid w:val="00314A49"/>
    <w:rsid w:val="003316A1"/>
    <w:rsid w:val="003C54EB"/>
    <w:rsid w:val="003D2B7B"/>
    <w:rsid w:val="0040475A"/>
    <w:rsid w:val="0048122A"/>
    <w:rsid w:val="004D6B68"/>
    <w:rsid w:val="004F1EEC"/>
    <w:rsid w:val="005979B6"/>
    <w:rsid w:val="005B4637"/>
    <w:rsid w:val="005C32A4"/>
    <w:rsid w:val="005C562D"/>
    <w:rsid w:val="007279AC"/>
    <w:rsid w:val="00832A3F"/>
    <w:rsid w:val="008B4FB9"/>
    <w:rsid w:val="008E7AD7"/>
    <w:rsid w:val="00910D7D"/>
    <w:rsid w:val="00962FF3"/>
    <w:rsid w:val="009E0699"/>
    <w:rsid w:val="00A1781E"/>
    <w:rsid w:val="00A4055D"/>
    <w:rsid w:val="00A54E36"/>
    <w:rsid w:val="00BA1901"/>
    <w:rsid w:val="00BA4154"/>
    <w:rsid w:val="00C025B4"/>
    <w:rsid w:val="00C12746"/>
    <w:rsid w:val="00D153E9"/>
    <w:rsid w:val="00D23A0D"/>
    <w:rsid w:val="00D321F5"/>
    <w:rsid w:val="00E46931"/>
    <w:rsid w:val="00EF4C39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D6B68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rsid w:val="00C8309C"/>
    <w:rPr>
      <w:rFonts w:ascii="Times New Roman" w:hAnsi="Times New Roman"/>
      <w:sz w:val="0"/>
      <w:szCs w:val="0"/>
      <w:lang w:eastAsia="en-US"/>
    </w:rPr>
  </w:style>
  <w:style w:type="table" w:styleId="TableGrid">
    <w:name w:val="Table Grid"/>
    <w:basedOn w:val="TableNormal"/>
    <w:uiPriority w:val="99"/>
    <w:rsid w:val="00A1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580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Daniela Kalaydzhiyska-Ivanova</cp:lastModifiedBy>
  <cp:revision>3</cp:revision>
  <cp:lastPrinted>2014-02-05T11:50:00Z</cp:lastPrinted>
  <dcterms:created xsi:type="dcterms:W3CDTF">2015-06-13T12:15:00Z</dcterms:created>
  <dcterms:modified xsi:type="dcterms:W3CDTF">2015-07-20T07:28:00Z</dcterms:modified>
</cp:coreProperties>
</file>