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073" w:rsidRPr="00FA5A7D" w:rsidRDefault="00AE2073" w:rsidP="00A43020">
      <w:pPr>
        <w:jc w:val="center"/>
        <w:rPr>
          <w:b/>
          <w:sz w:val="32"/>
          <w:szCs w:val="32"/>
        </w:rPr>
      </w:pPr>
      <w:r w:rsidRPr="00FA5A7D">
        <w:rPr>
          <w:b/>
          <w:sz w:val="32"/>
          <w:szCs w:val="32"/>
        </w:rPr>
        <w:t>ОБОБЩЕНА СПРАВКА</w:t>
      </w:r>
    </w:p>
    <w:p w:rsidR="00C52F45" w:rsidRPr="00FA5A7D" w:rsidRDefault="00AE2073" w:rsidP="00A43020">
      <w:pPr>
        <w:jc w:val="center"/>
        <w:rPr>
          <w:b/>
          <w:sz w:val="28"/>
          <w:szCs w:val="28"/>
        </w:rPr>
      </w:pPr>
      <w:r w:rsidRPr="00FA5A7D">
        <w:rPr>
          <w:b/>
          <w:sz w:val="28"/>
          <w:szCs w:val="28"/>
        </w:rPr>
        <w:t xml:space="preserve">по чл. 29, ал. 1 от Наредбата за реда и условията за извършване на екологична оценка на планове и програми за </w:t>
      </w:r>
      <w:r w:rsidR="002746DD" w:rsidRPr="00FA5A7D">
        <w:rPr>
          <w:b/>
          <w:sz w:val="28"/>
          <w:szCs w:val="28"/>
        </w:rPr>
        <w:t xml:space="preserve">Екологичната оценка </w:t>
      </w:r>
      <w:r w:rsidRPr="00FA5A7D">
        <w:rPr>
          <w:b/>
          <w:sz w:val="28"/>
          <w:szCs w:val="28"/>
        </w:rPr>
        <w:t xml:space="preserve">на </w:t>
      </w:r>
      <w:r w:rsidR="002746DD" w:rsidRPr="00FA5A7D">
        <w:rPr>
          <w:b/>
          <w:sz w:val="28"/>
          <w:szCs w:val="28"/>
        </w:rPr>
        <w:t>Оперативна програма „</w:t>
      </w:r>
      <w:r w:rsidR="00567586" w:rsidRPr="00FA5A7D">
        <w:rPr>
          <w:b/>
          <w:sz w:val="28"/>
          <w:szCs w:val="28"/>
        </w:rPr>
        <w:t>Транспорт и транспортна инфраструктура</w:t>
      </w:r>
      <w:r w:rsidR="002746DD" w:rsidRPr="00FA5A7D">
        <w:rPr>
          <w:b/>
          <w:sz w:val="28"/>
          <w:szCs w:val="28"/>
        </w:rPr>
        <w:t>” 2014 – 2020 г. (</w:t>
      </w:r>
      <w:r w:rsidR="00567586" w:rsidRPr="00FA5A7D">
        <w:rPr>
          <w:b/>
          <w:sz w:val="28"/>
          <w:szCs w:val="28"/>
        </w:rPr>
        <w:t>ОПТТИ</w:t>
      </w:r>
      <w:r w:rsidR="002746DD" w:rsidRPr="00FA5A7D">
        <w:rPr>
          <w:b/>
          <w:sz w:val="28"/>
          <w:szCs w:val="28"/>
        </w:rPr>
        <w:t>)</w:t>
      </w:r>
    </w:p>
    <w:p w:rsidR="00AE2073" w:rsidRPr="002746DD" w:rsidRDefault="00AE2073" w:rsidP="00A43020">
      <w:pPr>
        <w:jc w:val="both"/>
      </w:pPr>
    </w:p>
    <w:p w:rsidR="00AE2073" w:rsidRPr="002746DD" w:rsidRDefault="00AE2073" w:rsidP="00A43020">
      <w:pPr>
        <w:pStyle w:val="Heading1"/>
        <w:jc w:val="both"/>
        <w:rPr>
          <w:color w:val="auto"/>
        </w:rPr>
      </w:pPr>
      <w:r w:rsidRPr="002746DD">
        <w:rPr>
          <w:color w:val="auto"/>
        </w:rPr>
        <w:t>1.</w:t>
      </w:r>
      <w:r w:rsidRPr="002746DD">
        <w:rPr>
          <w:color w:val="auto"/>
        </w:rPr>
        <w:tab/>
        <w:t xml:space="preserve">Съответствие на </w:t>
      </w:r>
      <w:r w:rsidR="00567586">
        <w:rPr>
          <w:color w:val="auto"/>
        </w:rPr>
        <w:t>ОПТТИ</w:t>
      </w:r>
      <w:r w:rsidR="00187F53" w:rsidRPr="002746DD">
        <w:rPr>
          <w:color w:val="auto"/>
        </w:rPr>
        <w:t xml:space="preserve"> </w:t>
      </w:r>
      <w:r w:rsidRPr="002746DD">
        <w:rPr>
          <w:color w:val="auto"/>
        </w:rPr>
        <w:t xml:space="preserve"> с основните </w:t>
      </w:r>
      <w:r w:rsidR="00187F53" w:rsidRPr="002746DD">
        <w:rPr>
          <w:color w:val="auto"/>
        </w:rPr>
        <w:t>резултати</w:t>
      </w:r>
      <w:r w:rsidRPr="002746DD">
        <w:rPr>
          <w:color w:val="auto"/>
        </w:rPr>
        <w:t xml:space="preserve"> и препоръки от документацията по ЕО, с </w:t>
      </w:r>
      <w:r w:rsidR="00187F53" w:rsidRPr="002746DD">
        <w:rPr>
          <w:color w:val="auto"/>
        </w:rPr>
        <w:t>резултатите</w:t>
      </w:r>
      <w:r w:rsidRPr="002746DD">
        <w:rPr>
          <w:color w:val="auto"/>
        </w:rPr>
        <w:t xml:space="preserve"> от консултациите, с условията, мерките и ограниченията в становището по ЕО или в решението за преценяване на необходим</w:t>
      </w:r>
      <w:r w:rsidR="00187F53" w:rsidRPr="002746DD">
        <w:rPr>
          <w:color w:val="auto"/>
        </w:rPr>
        <w:t>остт</w:t>
      </w:r>
      <w:r w:rsidRPr="002746DD">
        <w:rPr>
          <w:color w:val="auto"/>
        </w:rPr>
        <w:t xml:space="preserve">а от </w:t>
      </w:r>
      <w:r w:rsidR="00187F53" w:rsidRPr="002746DD">
        <w:rPr>
          <w:color w:val="auto"/>
        </w:rPr>
        <w:t>извършване</w:t>
      </w:r>
      <w:r w:rsidRPr="002746DD">
        <w:rPr>
          <w:color w:val="auto"/>
        </w:rPr>
        <w:t xml:space="preserve"> на ЕО </w:t>
      </w:r>
    </w:p>
    <w:p w:rsidR="002C29F7" w:rsidRPr="00210461" w:rsidRDefault="002C29F7" w:rsidP="002C29F7">
      <w:pPr>
        <w:pStyle w:val="Heading2"/>
      </w:pPr>
      <w:r w:rsidRPr="00210461">
        <w:t>1.</w:t>
      </w:r>
      <w:proofErr w:type="spellStart"/>
      <w:r w:rsidRPr="00210461">
        <w:t>1</w:t>
      </w:r>
      <w:proofErr w:type="spellEnd"/>
      <w:r w:rsidRPr="00210461">
        <w:t xml:space="preserve">. </w:t>
      </w:r>
      <w:r w:rsidRPr="002746DD">
        <w:t xml:space="preserve">Съответствие на </w:t>
      </w:r>
      <w:r>
        <w:t>ОПТТИ</w:t>
      </w:r>
      <w:r w:rsidRPr="002746DD">
        <w:t xml:space="preserve"> с основните резултати и препоръки от документацията по ЕО</w:t>
      </w:r>
    </w:p>
    <w:p w:rsidR="00FB3B9C" w:rsidRDefault="00567586" w:rsidP="00A43020">
      <w:pPr>
        <w:jc w:val="both"/>
      </w:pPr>
      <w:r>
        <w:t>ОПТТИ</w:t>
      </w:r>
      <w:r w:rsidR="00FE0485" w:rsidRPr="002746DD">
        <w:t xml:space="preserve"> 2014-2020г. съответства с основните резултати и препоръки от документацията по ЕО</w:t>
      </w:r>
      <w:r w:rsidR="00FB72B4" w:rsidRPr="00210461">
        <w:t xml:space="preserve">. </w:t>
      </w:r>
      <w:r w:rsidR="00D36070" w:rsidRPr="002746DD">
        <w:t xml:space="preserve">Предвидените в ЕО </w:t>
      </w:r>
      <w:r w:rsidR="00AE2073" w:rsidRPr="002746DD">
        <w:t xml:space="preserve">мерки и условия за предотвратяване, намаляване или възможно най-пълно отстраняване на предполагаемите неблагоприятни последствия от прилагането на </w:t>
      </w:r>
      <w:r w:rsidR="00187F53" w:rsidRPr="002746DD">
        <w:t>Програмата</w:t>
      </w:r>
      <w:r w:rsidR="00AE2073" w:rsidRPr="002746DD">
        <w:t xml:space="preserve">, заедно с предложените мерки за наблюдение и контрол при прилагане съответстват на нивото на документа. </w:t>
      </w:r>
    </w:p>
    <w:p w:rsidR="00A4237B" w:rsidRPr="00413F47" w:rsidRDefault="00A4237B" w:rsidP="00A4237B">
      <w:pPr>
        <w:jc w:val="both"/>
      </w:pPr>
      <w:r w:rsidRPr="00413F47">
        <w:t xml:space="preserve">Предписаната в т. 7.1 </w:t>
      </w:r>
      <w:r w:rsidR="00D03471" w:rsidRPr="00413F47">
        <w:t>на доклада за ЕО</w:t>
      </w:r>
      <w:r w:rsidR="00D73EB8" w:rsidRPr="00413F47">
        <w:t xml:space="preserve"> </w:t>
      </w:r>
      <w:r w:rsidRPr="00413F47">
        <w:t>мярка „В програмата да се предвиди изпълнението на дейностите да бъде в съответствие с приложимите дейности от Националния план за действие за насърчаване на зелените обществени поръчки 2012-2014 г.</w:t>
      </w:r>
      <w:r w:rsidR="00A77F4A" w:rsidRPr="00413F47">
        <w:t>“</w:t>
      </w:r>
      <w:r w:rsidRPr="00413F47">
        <w:t xml:space="preserve"> е отразена в окончателния вариант на програмата</w:t>
      </w:r>
      <w:r w:rsidR="00A77F4A" w:rsidRPr="00413F47">
        <w:t xml:space="preserve">. </w:t>
      </w:r>
      <w:r w:rsidRPr="00413F47">
        <w:t xml:space="preserve"> </w:t>
      </w:r>
    </w:p>
    <w:p w:rsidR="004A0B5B" w:rsidRDefault="00FF4686" w:rsidP="004A0B5B">
      <w:pPr>
        <w:jc w:val="both"/>
      </w:pPr>
      <w:r w:rsidRPr="00413F47">
        <w:t xml:space="preserve">В раздел 11 „Хоризонтални принципи“ </w:t>
      </w:r>
      <w:r w:rsidR="00D96807" w:rsidRPr="00413F47">
        <w:t xml:space="preserve">е записано изрично, че </w:t>
      </w:r>
      <w:r w:rsidR="007862EA" w:rsidRPr="00413F47">
        <w:t>„В</w:t>
      </w:r>
      <w:r w:rsidR="004A0B5B" w:rsidRPr="00413F47">
        <w:t xml:space="preserve"> областта на транспорта и при изпълнението на ОПТТИ, чрез ефективното използване на ресурсите ще се цели и постигане на системи без въглерод, въвеждане на технологии за управление на движението, използване на екологично чисти превозни средства, въвеждане на стандартизация и пазарни стимули и инструменти. Важен елемент от тази стратегия е подходът за използване на зелени обществени поръчки, което ще бъде предмет на ежегодно отчитане. При възлагане на обществените поръчки ще се поставя условие за прилагане на екологични стандарти спрямо всички закупувани стоки и услуги с цел постигане на ефективно използване на ресурсите.За постигане на ефективно използване на ресурсите в контекста на изпълнението на ОПТТИ ще се следват и отчитат общите изисквания за икономии, рециклиране, замяна с алтернативи, намаляване обема на влаганите материали и правилна оценка на природните ресурси</w:t>
      </w:r>
      <w:r w:rsidR="007862EA" w:rsidRPr="00413F47">
        <w:t>“</w:t>
      </w:r>
      <w:r w:rsidR="004A0B5B" w:rsidRPr="00413F47">
        <w:t>.</w:t>
      </w:r>
    </w:p>
    <w:p w:rsidR="00FA5A7D" w:rsidRDefault="0012730E" w:rsidP="00A43020">
      <w:pPr>
        <w:jc w:val="both"/>
      </w:pPr>
      <w:r w:rsidRPr="0012730E">
        <w:t xml:space="preserve">От направения анализ на вероятните въздействия върху околната среда и човешкото здраве на ниво приоритетни оси и допустими дейности </w:t>
      </w:r>
      <w:r w:rsidR="00CB43E2">
        <w:t xml:space="preserve">в ЕО </w:t>
      </w:r>
      <w:r w:rsidRPr="0012730E">
        <w:t xml:space="preserve">става ясно, че се очаква ОПТТИ да окаже комплексно въздействие върху околната среда, включващо както положителни, така и предимно незначителни отрицателни последици за околната среда и човешкото здраве. </w:t>
      </w:r>
      <w:r w:rsidRPr="00210461">
        <w:t>Най-</w:t>
      </w:r>
      <w:r w:rsidRPr="00210461">
        <w:lastRenderedPageBreak/>
        <w:t xml:space="preserve">високо по значимост е отрицателното въздействие, свързано с биоразнообразието (в т.ч. флора, фауна и защитени зони от екологичната мрежа „Натура 2000“), поради характера на дейностите, предвидени по програмата. Те са предимно по време на изграждането на проектите по приоритетни оси 1 и 2, като за предотвратяване и максимално ограничаване на отрицателните въздействия са предвидени и ще бъдат предвидени съответните мерки в получените положителни решения Доклади за ОВОС и ОС и предстоящите такива. В т. 7 на доклада за ЕО също са описани мерки за предотвратяване, намаляване и възможно най-пълно компенсиране на неблагоприятните последствия от осъществяването на програмата върху околната среда,  при прилагането на които се очаква предотвратяване на евентуалните отрицателни последици и интегриране на екологичният аспект на устойчивостта в транспортното развитие. </w:t>
      </w:r>
    </w:p>
    <w:p w:rsidR="00FB3B9C" w:rsidRPr="00210461" w:rsidRDefault="0012730E" w:rsidP="00A43020">
      <w:pPr>
        <w:jc w:val="both"/>
      </w:pPr>
      <w:r w:rsidRPr="00FA5A7D">
        <w:t xml:space="preserve">Част от предлаганите в ОПТТИ проекти имат директен принос към опазване на околната среда - по-добрата организация на транспортните маршрути, развитието на устойчива </w:t>
      </w:r>
      <w:proofErr w:type="spellStart"/>
      <w:r w:rsidRPr="00FA5A7D">
        <w:t>интермодална</w:t>
      </w:r>
      <w:proofErr w:type="spellEnd"/>
      <w:r w:rsidRPr="00FA5A7D">
        <w:t xml:space="preserve"> мобилност, даването на приоритет на използването на </w:t>
      </w:r>
      <w:proofErr w:type="spellStart"/>
      <w:r w:rsidRPr="00FA5A7D">
        <w:t>нисковъглеродни</w:t>
      </w:r>
      <w:proofErr w:type="spellEnd"/>
      <w:r w:rsidRPr="00FA5A7D">
        <w:t xml:space="preserve"> технологии по отношение на транспорта, прилагането на предвидените в програмата мерки за опазване на околната среда ще имат благоприятно въздействие върху качеството на атмосферния въздух и климата и опазване на биоразнообразието. </w:t>
      </w:r>
      <w:r w:rsidRPr="00210461">
        <w:t>Рехабилитацията на съществуващите транспортни маршрути и построяване на нови, заобикалящи населените места, ще спомогнат за подобряване на качеството на въздуха в населените места и зоните с допълнително индустриално замърсяване</w:t>
      </w:r>
      <w:r w:rsidR="00E27A57" w:rsidRPr="00210461">
        <w:t>.</w:t>
      </w:r>
    </w:p>
    <w:p w:rsidR="00FB3B9C" w:rsidRDefault="00FB3B9C" w:rsidP="00A43020">
      <w:pPr>
        <w:jc w:val="both"/>
      </w:pPr>
      <w:r w:rsidRPr="00210461">
        <w:t>Реализирането на целите на всяка една от приоритетните оси и приоритетите ще акумулира общ положителен ефект върху състоянието на компонентите на околната среда в страната, в т.ч. и на биологичното разнообразие и неговите елементи.</w:t>
      </w:r>
    </w:p>
    <w:p w:rsidR="00A4237B" w:rsidRPr="00A4237B" w:rsidRDefault="00A4237B" w:rsidP="00A43020">
      <w:pPr>
        <w:jc w:val="both"/>
      </w:pPr>
    </w:p>
    <w:p w:rsidR="002C29F7" w:rsidRPr="00210461" w:rsidRDefault="002C29F7" w:rsidP="002C29F7">
      <w:pPr>
        <w:pStyle w:val="Heading2"/>
      </w:pPr>
      <w:r w:rsidRPr="00210461">
        <w:t xml:space="preserve">1.2 </w:t>
      </w:r>
      <w:r w:rsidRPr="002746DD">
        <w:t xml:space="preserve">Съответствие на </w:t>
      </w:r>
      <w:r>
        <w:t>ОПТТИ</w:t>
      </w:r>
      <w:r w:rsidRPr="002746DD">
        <w:t xml:space="preserve"> с резултатите</w:t>
      </w:r>
      <w:r>
        <w:t xml:space="preserve"> от консултациите</w:t>
      </w:r>
    </w:p>
    <w:p w:rsidR="00AE2073" w:rsidRPr="002746DD" w:rsidRDefault="00AE2073" w:rsidP="00A43020">
      <w:pPr>
        <w:jc w:val="both"/>
      </w:pPr>
      <w:r w:rsidRPr="002746DD">
        <w:t xml:space="preserve">В резултат от обществените консултации и общественото обсъждане на Доклада за ЕО са получени </w:t>
      </w:r>
      <w:r w:rsidR="00E27A57">
        <w:t xml:space="preserve">37 </w:t>
      </w:r>
      <w:r w:rsidR="00E27A57" w:rsidRPr="00304930">
        <w:t xml:space="preserve">броя становища </w:t>
      </w:r>
      <w:r w:rsidR="00E27A57">
        <w:t>(</w:t>
      </w:r>
      <w:r w:rsidR="00E27A57" w:rsidRPr="00304930">
        <w:t>1</w:t>
      </w:r>
      <w:r w:rsidR="00E27A57">
        <w:t>8 във връзка със Заданието и 19 по ЕО)</w:t>
      </w:r>
      <w:r w:rsidR="00E27A57" w:rsidRPr="00304930">
        <w:t xml:space="preserve"> </w:t>
      </w:r>
      <w:r w:rsidRPr="002746DD">
        <w:t>от държавни институции</w:t>
      </w:r>
      <w:r w:rsidR="00FE0485" w:rsidRPr="002746DD">
        <w:t xml:space="preserve"> и други </w:t>
      </w:r>
      <w:r w:rsidR="00567586" w:rsidRPr="002746DD">
        <w:t>организации</w:t>
      </w:r>
      <w:r w:rsidRPr="002746DD">
        <w:t xml:space="preserve">. </w:t>
      </w:r>
    </w:p>
    <w:p w:rsidR="00E27A57" w:rsidRPr="00E27A57" w:rsidRDefault="00E27A57" w:rsidP="00A43020">
      <w:pPr>
        <w:jc w:val="both"/>
      </w:pPr>
      <w:r w:rsidRPr="00E27A57">
        <w:t>Възложителят (МТИТС) организира консултации с обществеността, заинтересуваните органи и трети лица, които има вероятност да бъдат засегнати от Оперативна програма през различните фази на подготовката й, съответно на ЕО</w:t>
      </w:r>
      <w:r w:rsidR="00FB72B4" w:rsidRPr="00FB72B4">
        <w:t xml:space="preserve"> </w:t>
      </w:r>
      <w:r w:rsidR="00FB72B4" w:rsidRPr="00E27A57">
        <w:t>съгласно изискванията на чл. 19 на Наредбата за условията и реда за извършване на екологична оценка на планове и програми (</w:t>
      </w:r>
      <w:proofErr w:type="spellStart"/>
      <w:r w:rsidR="00FB72B4" w:rsidRPr="00E27A57">
        <w:t>обн</w:t>
      </w:r>
      <w:proofErr w:type="spellEnd"/>
      <w:r w:rsidR="00FB72B4" w:rsidRPr="00E27A57">
        <w:t xml:space="preserve">. ДВ бр. 57 от 2 Юли 2004 г., </w:t>
      </w:r>
      <w:proofErr w:type="spellStart"/>
      <w:r w:rsidR="00FB72B4" w:rsidRPr="00E27A57">
        <w:t>посл</w:t>
      </w:r>
      <w:proofErr w:type="spellEnd"/>
      <w:r w:rsidR="00FB72B4" w:rsidRPr="00E27A57">
        <w:t>. изм. ДВ бр. 38 от 18 Май 2012 г.)</w:t>
      </w:r>
      <w:r w:rsidR="00FB72B4">
        <w:t>. Консултациите са</w:t>
      </w:r>
      <w:r w:rsidRPr="00E27A57">
        <w:t xml:space="preserve"> </w:t>
      </w:r>
      <w:r w:rsidR="00FB72B4">
        <w:t xml:space="preserve">проведени </w:t>
      </w:r>
      <w:r w:rsidRPr="00E27A57">
        <w:t>по схема, разработена от възложителя</w:t>
      </w:r>
      <w:r w:rsidR="00FB72B4" w:rsidRPr="00FB72B4">
        <w:t xml:space="preserve"> </w:t>
      </w:r>
      <w:r w:rsidR="00FB72B4">
        <w:t xml:space="preserve">и </w:t>
      </w:r>
      <w:r w:rsidR="00FB72B4" w:rsidRPr="00E27A57">
        <w:t>консултира</w:t>
      </w:r>
      <w:r w:rsidR="00FB72B4">
        <w:t>на</w:t>
      </w:r>
      <w:r w:rsidR="00FB72B4" w:rsidRPr="00E27A57">
        <w:t xml:space="preserve"> с компетентния орган - МОСВ</w:t>
      </w:r>
      <w:r w:rsidRPr="00E27A57">
        <w:t xml:space="preserve">, която включва и информация за начина на съвместяване процеса на планиране и основните етапи на ЕО, в т.ч. за взаимодействие на екипите по разработване на проекта за програмата и на доклада за ЕО. </w:t>
      </w:r>
    </w:p>
    <w:p w:rsidR="00E27A57" w:rsidRDefault="00E27A57" w:rsidP="00A43020">
      <w:pPr>
        <w:jc w:val="both"/>
      </w:pPr>
      <w:r>
        <w:t>Съобразно глава четвърта от наредбата за ЕО бяха проведени следните консултации</w:t>
      </w:r>
      <w:r w:rsidR="007F2F25" w:rsidRPr="007F2F25">
        <w:t xml:space="preserve"> </w:t>
      </w:r>
      <w:r w:rsidR="007F2F25">
        <w:t>в процеса на изготвяне на ЕО</w:t>
      </w:r>
      <w:r>
        <w:t>:</w:t>
      </w:r>
    </w:p>
    <w:p w:rsidR="00E27A57" w:rsidRDefault="00E27A57" w:rsidP="007F2F25">
      <w:pPr>
        <w:pStyle w:val="ListParagraph"/>
        <w:numPr>
          <w:ilvl w:val="0"/>
          <w:numId w:val="4"/>
        </w:numPr>
        <w:jc w:val="both"/>
      </w:pPr>
      <w:r>
        <w:t>по Задание</w:t>
      </w:r>
      <w:r w:rsidR="007F2F25">
        <w:t>то</w:t>
      </w:r>
      <w:r>
        <w:t xml:space="preserve"> за определяне</w:t>
      </w:r>
      <w:r w:rsidR="00A15955">
        <w:t xml:space="preserve"> обхвата на екологичната оценка</w:t>
      </w:r>
      <w:r>
        <w:t xml:space="preserve"> – по разработеното задание за определяне обхвата на оценката бяха проведени консултации с компетентният орган (МОСВ) и с М</w:t>
      </w:r>
      <w:r w:rsidR="00BC27AB">
        <w:t xml:space="preserve">инистерство на здравеопазването, както </w:t>
      </w:r>
      <w:r>
        <w:t xml:space="preserve">и с други </w:t>
      </w:r>
      <w:r>
        <w:lastRenderedPageBreak/>
        <w:t xml:space="preserve">специализирани ведомства – </w:t>
      </w:r>
      <w:proofErr w:type="spellStart"/>
      <w:r>
        <w:t>Басейновите</w:t>
      </w:r>
      <w:proofErr w:type="spellEnd"/>
      <w:r>
        <w:t xml:space="preserve"> дирекции за управление на водите, Регионалните инспекции по околна среда и водите </w:t>
      </w:r>
      <w:r w:rsidR="00A15955">
        <w:t xml:space="preserve">и </w:t>
      </w:r>
      <w:r w:rsidR="00A15955" w:rsidRPr="00A15955">
        <w:t>Работна</w:t>
      </w:r>
      <w:r w:rsidR="00A15955">
        <w:t>та</w:t>
      </w:r>
      <w:r w:rsidR="00A15955" w:rsidRPr="00A15955">
        <w:t xml:space="preserve"> група по изготвяне на ОПТТИ</w:t>
      </w:r>
      <w:r>
        <w:t>.</w:t>
      </w:r>
    </w:p>
    <w:p w:rsidR="00E27A57" w:rsidRDefault="00E27A57" w:rsidP="00A43020">
      <w:pPr>
        <w:pStyle w:val="ListParagraph"/>
        <w:numPr>
          <w:ilvl w:val="0"/>
          <w:numId w:val="4"/>
        </w:numPr>
        <w:jc w:val="both"/>
      </w:pPr>
      <w:r>
        <w:t>Консултиране по Екологичната оценка и ОПТТИ – Консултациите по изготвения доклад за ЕО на програмата включваха:</w:t>
      </w:r>
      <w:r w:rsidR="00BC27AB">
        <w:t xml:space="preserve"> </w:t>
      </w:r>
      <w:r>
        <w:t>Публикуване на съобщение за провеждане на консултации</w:t>
      </w:r>
      <w:r w:rsidR="00BC27AB">
        <w:t xml:space="preserve"> и Осигуряване на </w:t>
      </w:r>
      <w:r>
        <w:t>достъп и достатъчна техническа възможност за запознаване с материалите по доклада за ЕО, с проекта на програмата и с нагледните материали по в</w:t>
      </w:r>
      <w:r w:rsidR="00BC27AB">
        <w:t xml:space="preserve">сяка от оценяваните алтернативи и </w:t>
      </w:r>
      <w:r>
        <w:t>експерт или лице с необходимата квалификация от планиращия екип, отговорно да предоставя допълни</w:t>
      </w:r>
      <w:r w:rsidR="00BC27AB">
        <w:t xml:space="preserve">телни устни разяснения на място. </w:t>
      </w:r>
      <w:r>
        <w:t>Консултациите с обществеността, заинтересуваните органи и трети лица бяха извършени по следните начини:</w:t>
      </w:r>
      <w:r w:rsidR="00BC27AB">
        <w:t xml:space="preserve"> и</w:t>
      </w:r>
      <w:r>
        <w:t xml:space="preserve">зпращане </w:t>
      </w:r>
      <w:r w:rsidR="00BC27AB">
        <w:t xml:space="preserve">на съобщения до РИОСВ, БД и др. и </w:t>
      </w:r>
      <w:r>
        <w:t>изпращане по пощата или чрез интернет на мнения, предложения, становища и препоръки до колектива по доклада за ЕО и до възложителя.</w:t>
      </w:r>
      <w:r w:rsidR="00BC27AB">
        <w:t xml:space="preserve"> </w:t>
      </w:r>
      <w:r>
        <w:t xml:space="preserve">Възложителят проведе и консултации по доклада за ЕО на програмата и с компетентният орган - МОСВ и със специализираните компетентни органи - МЗ, като им предоставя документацията за становище. </w:t>
      </w:r>
    </w:p>
    <w:p w:rsidR="00AE2073" w:rsidRPr="002746DD" w:rsidRDefault="00BC27AB" w:rsidP="00A43020">
      <w:pPr>
        <w:jc w:val="both"/>
      </w:pPr>
      <w:r>
        <w:t xml:space="preserve">Становищата, </w:t>
      </w:r>
      <w:r w:rsidR="00AE2073" w:rsidRPr="002746DD">
        <w:t>бележки</w:t>
      </w:r>
      <w:r>
        <w:t>те</w:t>
      </w:r>
      <w:r w:rsidR="00AE2073" w:rsidRPr="002746DD">
        <w:t xml:space="preserve"> </w:t>
      </w:r>
      <w:r>
        <w:t xml:space="preserve">и предложенията, получени </w:t>
      </w:r>
      <w:r w:rsidR="00AE2073" w:rsidRPr="002746DD">
        <w:t>в рамките на консултациите</w:t>
      </w:r>
      <w:r>
        <w:t>,</w:t>
      </w:r>
      <w:r w:rsidRPr="00BC27AB">
        <w:t xml:space="preserve"> </w:t>
      </w:r>
      <w:r>
        <w:t xml:space="preserve">са </w:t>
      </w:r>
      <w:r w:rsidRPr="002746DD">
        <w:t>отраз</w:t>
      </w:r>
      <w:r>
        <w:t>ени</w:t>
      </w:r>
      <w:r w:rsidRPr="002746DD">
        <w:t xml:space="preserve"> в Доклада за ЕО</w:t>
      </w:r>
      <w:r w:rsidR="00AE2073" w:rsidRPr="002746DD">
        <w:t>. За неотразените в Доклад</w:t>
      </w:r>
      <w:r w:rsidR="00FE0485" w:rsidRPr="002746DD">
        <w:t>а</w:t>
      </w:r>
      <w:r w:rsidR="00AE2073" w:rsidRPr="002746DD">
        <w:t xml:space="preserve"> бележки </w:t>
      </w:r>
      <w:r>
        <w:t>са</w:t>
      </w:r>
      <w:r w:rsidR="00AE2073" w:rsidRPr="002746DD">
        <w:t xml:space="preserve"> представ</w:t>
      </w:r>
      <w:r>
        <w:t>ени</w:t>
      </w:r>
      <w:r w:rsidR="00AE2073" w:rsidRPr="002746DD">
        <w:t xml:space="preserve"> аргументите на експертите, изготвили Доклад</w:t>
      </w:r>
      <w:r>
        <w:t>а за ЕО,</w:t>
      </w:r>
      <w:r w:rsidR="00AE2073" w:rsidRPr="002746DD">
        <w:t xml:space="preserve"> в Справка от проведените консултации на Докладите за екологична оценка </w:t>
      </w:r>
      <w:r>
        <w:t xml:space="preserve">на ОПТТИ 2014-2020г., показана в </w:t>
      </w:r>
      <w:r w:rsidR="00B03D2B" w:rsidRPr="00FB3B9C">
        <w:t xml:space="preserve">Приложение </w:t>
      </w:r>
      <w:r w:rsidR="00FB3B9C">
        <w:rPr>
          <w:rFonts w:ascii="Times New Roman" w:hAnsi="Times New Roman" w:cs="Times New Roman"/>
        </w:rPr>
        <w:t>№</w:t>
      </w:r>
      <w:r w:rsidR="00B03D2B" w:rsidRPr="00FB3B9C">
        <w:t xml:space="preserve"> </w:t>
      </w:r>
      <w:r w:rsidR="00FB3B9C" w:rsidRPr="00FB3B9C">
        <w:t>4</w:t>
      </w:r>
      <w:r w:rsidR="00AE2073" w:rsidRPr="00FB3B9C">
        <w:t xml:space="preserve"> към</w:t>
      </w:r>
      <w:r>
        <w:t xml:space="preserve"> Доклада за ЕО</w:t>
      </w:r>
      <w:r w:rsidR="00AE2073" w:rsidRPr="002746DD">
        <w:t xml:space="preserve">. </w:t>
      </w:r>
    </w:p>
    <w:p w:rsidR="002C29F7" w:rsidRPr="00210461" w:rsidRDefault="00AE2073" w:rsidP="00A43020">
      <w:pPr>
        <w:jc w:val="both"/>
      </w:pPr>
      <w:r w:rsidRPr="002746DD">
        <w:t xml:space="preserve">Препоръчаните в резултат на проведените консултации условия и мерки за предотвратяване, намаляване или възможно най-пълно отстраняване на предполагаемите неблагоприятни последствия от прилагането на </w:t>
      </w:r>
      <w:r w:rsidR="00567586">
        <w:t>ОПТТИ</w:t>
      </w:r>
      <w:r w:rsidRPr="002746DD">
        <w:t xml:space="preserve"> са съобразени и по подходя</w:t>
      </w:r>
      <w:r w:rsidR="00BC27AB">
        <w:t>щ начин са отразен</w:t>
      </w:r>
      <w:r w:rsidR="00567586">
        <w:t xml:space="preserve">и в </w:t>
      </w:r>
      <w:r w:rsidR="00BC27AB">
        <w:t>проекта на ОПТТИ 2014-2020г</w:t>
      </w:r>
      <w:r w:rsidRPr="002746DD">
        <w:t>.</w:t>
      </w:r>
      <w:r w:rsidR="000D4013" w:rsidRPr="000D4013">
        <w:t xml:space="preserve"> </w:t>
      </w:r>
    </w:p>
    <w:p w:rsidR="002C29F7" w:rsidRPr="00210461" w:rsidRDefault="002C29F7" w:rsidP="002C29F7"/>
    <w:p w:rsidR="002C29F7" w:rsidRPr="000D4013" w:rsidRDefault="002C29F7" w:rsidP="002C29F7">
      <w:pPr>
        <w:pStyle w:val="Heading2"/>
      </w:pPr>
      <w:r w:rsidRPr="00210461">
        <w:t xml:space="preserve">1.3. </w:t>
      </w:r>
      <w:r w:rsidRPr="002746DD">
        <w:t xml:space="preserve">Съответствие на </w:t>
      </w:r>
      <w:r>
        <w:t>ОПТТИ</w:t>
      </w:r>
      <w:r w:rsidRPr="002746DD">
        <w:t xml:space="preserve"> с условията, мерките и ограниченията в становището по ЕО</w:t>
      </w:r>
    </w:p>
    <w:p w:rsidR="002C29F7" w:rsidRPr="002746DD" w:rsidRDefault="002C29F7" w:rsidP="002C29F7">
      <w:pPr>
        <w:jc w:val="both"/>
      </w:pPr>
      <w:r w:rsidRPr="002746DD">
        <w:t xml:space="preserve">Постигането на заложените </w:t>
      </w:r>
      <w:r w:rsidR="007925F3">
        <w:t>обща</w:t>
      </w:r>
      <w:r w:rsidR="007925F3" w:rsidRPr="007925F3">
        <w:t xml:space="preserve"> </w:t>
      </w:r>
      <w:r w:rsidR="007925F3">
        <w:t>и</w:t>
      </w:r>
      <w:r w:rsidR="007925F3" w:rsidRPr="007925F3">
        <w:t xml:space="preserve"> специфични цели </w:t>
      </w:r>
      <w:r w:rsidR="007925F3">
        <w:t>на ОПТТИ 2014-2020</w:t>
      </w:r>
      <w:r w:rsidRPr="002746DD">
        <w:t xml:space="preserve"> ще се реализира при условие на изпълнение </w:t>
      </w:r>
      <w:r w:rsidR="00871FB3">
        <w:t xml:space="preserve">и съобразяване </w:t>
      </w:r>
      <w:r w:rsidRPr="002746DD">
        <w:t xml:space="preserve">на </w:t>
      </w:r>
      <w:r w:rsidR="00871FB3">
        <w:t>постановените</w:t>
      </w:r>
      <w:r w:rsidR="00871FB3" w:rsidRPr="002746DD">
        <w:t xml:space="preserve"> </w:t>
      </w:r>
      <w:r w:rsidRPr="002746DD">
        <w:t xml:space="preserve">в Становището по екологичната оценка </w:t>
      </w:r>
      <w:r w:rsidR="007925F3" w:rsidRPr="002746DD">
        <w:t>условия</w:t>
      </w:r>
      <w:r w:rsidR="007925F3">
        <w:t>,</w:t>
      </w:r>
      <w:r w:rsidR="007925F3" w:rsidRPr="002746DD">
        <w:t xml:space="preserve"> </w:t>
      </w:r>
      <w:r w:rsidRPr="002746DD">
        <w:t>мерки и</w:t>
      </w:r>
      <w:r w:rsidR="007925F3">
        <w:t xml:space="preserve"> ограничения</w:t>
      </w:r>
      <w:r w:rsidR="00C61275">
        <w:t>.</w:t>
      </w:r>
      <w:r w:rsidRPr="002746DD">
        <w:t xml:space="preserve"> </w:t>
      </w:r>
      <w:r w:rsidR="00E2553F" w:rsidRPr="007243FD">
        <w:t>В точка 3 са описани отразен</w:t>
      </w:r>
      <w:r w:rsidR="00AD77E7" w:rsidRPr="007243FD">
        <w:t>и</w:t>
      </w:r>
      <w:r w:rsidR="00E2553F" w:rsidRPr="007243FD">
        <w:t>те в ОПТТИ 2014-2020 условия и мерки от Становището</w:t>
      </w:r>
      <w:r w:rsidR="00A77F4A" w:rsidRPr="007243FD">
        <w:t>.</w:t>
      </w:r>
    </w:p>
    <w:p w:rsidR="00AE2073" w:rsidRPr="002746DD" w:rsidRDefault="00AE2073" w:rsidP="00A43020">
      <w:pPr>
        <w:pStyle w:val="Heading1"/>
        <w:jc w:val="both"/>
        <w:rPr>
          <w:color w:val="auto"/>
        </w:rPr>
      </w:pPr>
      <w:r w:rsidRPr="002746DD">
        <w:rPr>
          <w:color w:val="auto"/>
        </w:rPr>
        <w:t>2.</w:t>
      </w:r>
      <w:r w:rsidRPr="002746DD">
        <w:rPr>
          <w:color w:val="auto"/>
        </w:rPr>
        <w:tab/>
        <w:t xml:space="preserve">Съответствие на </w:t>
      </w:r>
      <w:r w:rsidR="00567586">
        <w:rPr>
          <w:color w:val="auto"/>
        </w:rPr>
        <w:t>ОПТТИ</w:t>
      </w:r>
      <w:r w:rsidRPr="002746DD">
        <w:rPr>
          <w:color w:val="auto"/>
        </w:rPr>
        <w:t xml:space="preserve"> с обоснованата в становището по ЕО алтернатива </w:t>
      </w:r>
      <w:r w:rsidR="00231C03" w:rsidRPr="002746DD">
        <w:rPr>
          <w:color w:val="auto"/>
        </w:rPr>
        <w:t>з</w:t>
      </w:r>
      <w:r w:rsidRPr="002746DD">
        <w:rPr>
          <w:color w:val="auto"/>
        </w:rPr>
        <w:t xml:space="preserve">а постигане целите на </w:t>
      </w:r>
      <w:r w:rsidR="00231C03" w:rsidRPr="002746DD">
        <w:rPr>
          <w:color w:val="auto"/>
        </w:rPr>
        <w:t>Програмата</w:t>
      </w:r>
      <w:r w:rsidRPr="002746DD">
        <w:rPr>
          <w:color w:val="auto"/>
        </w:rPr>
        <w:t xml:space="preserve"> </w:t>
      </w:r>
    </w:p>
    <w:p w:rsidR="00A43020" w:rsidRDefault="00A43020" w:rsidP="00A43020">
      <w:pPr>
        <w:jc w:val="both"/>
      </w:pPr>
    </w:p>
    <w:p w:rsidR="00A43020" w:rsidRPr="0082115A" w:rsidRDefault="00A43020" w:rsidP="008644D6">
      <w:pPr>
        <w:widowControl w:val="0"/>
        <w:spacing w:after="120" w:line="20" w:lineRule="atLeast"/>
        <w:jc w:val="both"/>
        <w:rPr>
          <w:snapToGrid w:val="0"/>
          <w:color w:val="000000"/>
          <w:szCs w:val="24"/>
          <w:lang w:eastAsia="en-US"/>
        </w:rPr>
      </w:pPr>
      <w:r w:rsidRPr="0082115A">
        <w:rPr>
          <w:snapToGrid w:val="0"/>
          <w:color w:val="000000"/>
          <w:szCs w:val="24"/>
          <w:lang w:eastAsia="en-US"/>
        </w:rPr>
        <w:t xml:space="preserve">Като алтернативи на ОПТТИ 2014-2020 г. са изготвени два варианта на програмата – вариант от м. септември, 2013 г. и вариант от м. март, 2014 г. Вторият вариант е подробно разгледан и оценен в доклада за ЕО, който е бил предмет на консултации с обществеността. В последствие, след </w:t>
      </w:r>
      <w:proofErr w:type="spellStart"/>
      <w:r w:rsidRPr="0082115A">
        <w:rPr>
          <w:snapToGrid w:val="0"/>
          <w:color w:val="000000"/>
          <w:szCs w:val="24"/>
          <w:lang w:eastAsia="en-US"/>
        </w:rPr>
        <w:t>приоритизиране</w:t>
      </w:r>
      <w:proofErr w:type="spellEnd"/>
      <w:r w:rsidRPr="0082115A">
        <w:rPr>
          <w:snapToGrid w:val="0"/>
          <w:color w:val="000000"/>
          <w:szCs w:val="24"/>
          <w:lang w:eastAsia="en-US"/>
        </w:rPr>
        <w:t xml:space="preserve"> на проектите по ОПТТИ и съобразяване на наличния финансов ресурс по програмата е направена актуализация на Втори вариант през м. септември, 2014 г. – Актуализираният Втори вариант се разглежда като предпочитан, като извършените промени </w:t>
      </w:r>
      <w:r w:rsidRPr="0082115A">
        <w:rPr>
          <w:snapToGrid w:val="0"/>
          <w:color w:val="000000"/>
          <w:szCs w:val="24"/>
          <w:lang w:eastAsia="en-US"/>
        </w:rPr>
        <w:lastRenderedPageBreak/>
        <w:t>спрямо Втори вариант от м. март, 2014 г. са отразени в настоящия окончателен доклад за екологична оценка. Мотивите за избор</w:t>
      </w:r>
      <w:r w:rsidR="00102D22">
        <w:rPr>
          <w:snapToGrid w:val="0"/>
          <w:color w:val="000000"/>
          <w:szCs w:val="24"/>
          <w:lang w:eastAsia="en-US"/>
        </w:rPr>
        <w:t>а</w:t>
      </w:r>
      <w:r w:rsidRPr="0082115A">
        <w:rPr>
          <w:snapToGrid w:val="0"/>
          <w:color w:val="000000"/>
          <w:szCs w:val="24"/>
          <w:lang w:eastAsia="en-US"/>
        </w:rPr>
        <w:t xml:space="preserve"> на този вариант от екологична гледна точка са подробно представени  в ЕО, като са изложени и съображенията за неприемливостта на т.нар. „нулева” алтернатива, равносилна на отказ от ре</w:t>
      </w:r>
      <w:r w:rsidR="00AB472E">
        <w:rPr>
          <w:snapToGrid w:val="0"/>
          <w:color w:val="000000"/>
          <w:szCs w:val="24"/>
          <w:lang w:eastAsia="en-US"/>
        </w:rPr>
        <w:t>ализиране на ОПТТИ 2014-2020 г.</w:t>
      </w:r>
    </w:p>
    <w:p w:rsidR="00A43020" w:rsidRPr="0082115A" w:rsidRDefault="00A43020" w:rsidP="008644D6">
      <w:pPr>
        <w:widowControl w:val="0"/>
        <w:spacing w:after="120" w:line="20" w:lineRule="atLeast"/>
        <w:jc w:val="both"/>
        <w:rPr>
          <w:snapToGrid w:val="0"/>
          <w:color w:val="000000"/>
          <w:szCs w:val="24"/>
          <w:lang w:eastAsia="en-US"/>
        </w:rPr>
      </w:pPr>
      <w:r w:rsidRPr="00A43020">
        <w:rPr>
          <w:snapToGrid w:val="0"/>
          <w:color w:val="000000"/>
          <w:szCs w:val="24"/>
          <w:lang w:eastAsia="en-US"/>
        </w:rPr>
        <w:t>Описанието и анализът на възможността за прилагане на „нулева” алтернатива</w:t>
      </w:r>
      <w:r w:rsidRPr="0082115A">
        <w:rPr>
          <w:snapToGrid w:val="0"/>
          <w:color w:val="000000"/>
          <w:szCs w:val="24"/>
          <w:lang w:eastAsia="en-US"/>
        </w:rPr>
        <w:t xml:space="preserve"> са представени в доклада за ЕО, от където се вижда евентуалното развитие на компонентите и факторите на околната среда в случай, че ОПТТИ 2014-2020 г. не се приложи/реализира. От извършения анализ се налага изводът, че изборът на тази алтернатива е неприемлив и от екологична гледна точка (освен от икономическа и социална), той като ще бъдат пропуснати ползите и положителните ефекти върху околната среда, които се очаква да се реализират с прилагане и изпълнение на ОПТТИ 2014-2020 г.</w:t>
      </w:r>
    </w:p>
    <w:p w:rsidR="00A43020" w:rsidRPr="0082115A" w:rsidRDefault="00A43020" w:rsidP="008644D6">
      <w:pPr>
        <w:widowControl w:val="0"/>
        <w:spacing w:after="120" w:line="20" w:lineRule="atLeast"/>
        <w:jc w:val="both"/>
        <w:rPr>
          <w:snapToGrid w:val="0"/>
          <w:color w:val="000000"/>
          <w:szCs w:val="24"/>
          <w:lang w:eastAsia="en-US"/>
        </w:rPr>
      </w:pPr>
      <w:r w:rsidRPr="0082115A">
        <w:rPr>
          <w:snapToGrid w:val="0"/>
          <w:color w:val="000000"/>
          <w:szCs w:val="24"/>
          <w:lang w:eastAsia="en-US"/>
        </w:rPr>
        <w:t>Въз основа на предвижданията на Първи, Втори и Актуализиран Втори варианти и на  очакваното въздействие върху околната среда и човешкото здраве на „нулевата” алтернатива, като най-приемлив от икономическа, социална и екологична гледна точка е Актуализираният Втори вариант , поради следните мотиви:</w:t>
      </w:r>
    </w:p>
    <w:p w:rsidR="00A43020" w:rsidRPr="00A43020" w:rsidRDefault="00A43020" w:rsidP="00A43020">
      <w:pPr>
        <w:pStyle w:val="ListParagraph"/>
        <w:widowControl w:val="0"/>
        <w:numPr>
          <w:ilvl w:val="0"/>
          <w:numId w:val="3"/>
        </w:numPr>
        <w:tabs>
          <w:tab w:val="clear" w:pos="720"/>
          <w:tab w:val="num" w:pos="360"/>
        </w:tabs>
        <w:spacing w:after="120" w:line="20" w:lineRule="atLeast"/>
        <w:ind w:left="360"/>
        <w:contextualSpacing w:val="0"/>
        <w:jc w:val="both"/>
        <w:rPr>
          <w:snapToGrid w:val="0"/>
          <w:color w:val="000000"/>
          <w:szCs w:val="24"/>
        </w:rPr>
      </w:pPr>
      <w:r w:rsidRPr="00A43020">
        <w:rPr>
          <w:snapToGrid w:val="0"/>
          <w:color w:val="000000"/>
          <w:sz w:val="24"/>
          <w:szCs w:val="24"/>
        </w:rPr>
        <w:t>По отношение на приоритетни оси 1 и 2: в Актуализиран Втори вариант има по-малко посочени индикативни проекти, сравнено с Първи и Втори вариант, което като цяло води до ограничаване на степента и обхвата на въздействие върху околната среда и човешкото здраве, в т.ч. на кумулативния негативен ефект от въздействията;</w:t>
      </w:r>
    </w:p>
    <w:p w:rsidR="00A43020" w:rsidRPr="00A43020" w:rsidRDefault="00A43020" w:rsidP="00A43020">
      <w:pPr>
        <w:pStyle w:val="ListParagraph"/>
        <w:widowControl w:val="0"/>
        <w:numPr>
          <w:ilvl w:val="0"/>
          <w:numId w:val="3"/>
        </w:numPr>
        <w:tabs>
          <w:tab w:val="clear" w:pos="720"/>
          <w:tab w:val="num" w:pos="1069"/>
        </w:tabs>
        <w:spacing w:after="120" w:line="20" w:lineRule="atLeast"/>
        <w:ind w:left="360"/>
        <w:contextualSpacing w:val="0"/>
        <w:jc w:val="both"/>
        <w:rPr>
          <w:snapToGrid w:val="0"/>
          <w:color w:val="000000"/>
          <w:szCs w:val="24"/>
        </w:rPr>
      </w:pPr>
      <w:r w:rsidRPr="00A43020">
        <w:rPr>
          <w:snapToGrid w:val="0"/>
          <w:color w:val="000000"/>
          <w:sz w:val="24"/>
          <w:szCs w:val="24"/>
        </w:rPr>
        <w:t xml:space="preserve">По отношение на приоритетна ос 3: реконструкцията на гарови комплекси от Първи вариант е заменена с разширение на втори </w:t>
      </w:r>
      <w:proofErr w:type="spellStart"/>
      <w:r w:rsidRPr="00A43020">
        <w:rPr>
          <w:snapToGrid w:val="0"/>
          <w:color w:val="000000"/>
          <w:sz w:val="24"/>
          <w:szCs w:val="24"/>
        </w:rPr>
        <w:t>метродиаметър</w:t>
      </w:r>
      <w:proofErr w:type="spellEnd"/>
      <w:r w:rsidRPr="00A43020">
        <w:rPr>
          <w:snapToGrid w:val="0"/>
          <w:color w:val="000000"/>
          <w:sz w:val="24"/>
          <w:szCs w:val="24"/>
        </w:rPr>
        <w:t xml:space="preserve"> във Втори и Актуализиран Втори варианти, което като ефект ще има много по-положително въздействие върху околната среда и по-пълно ще допринесе за постигането на </w:t>
      </w:r>
      <w:proofErr w:type="spellStart"/>
      <w:r w:rsidRPr="00A43020">
        <w:rPr>
          <w:snapToGrid w:val="0"/>
          <w:color w:val="000000"/>
          <w:sz w:val="24"/>
          <w:szCs w:val="24"/>
        </w:rPr>
        <w:t>екологосъобразни</w:t>
      </w:r>
      <w:proofErr w:type="spellEnd"/>
      <w:r w:rsidRPr="00A43020">
        <w:rPr>
          <w:snapToGrid w:val="0"/>
          <w:color w:val="000000"/>
          <w:sz w:val="24"/>
          <w:szCs w:val="24"/>
        </w:rPr>
        <w:t xml:space="preserve">, включително с ниски емисии на шум и </w:t>
      </w:r>
      <w:proofErr w:type="spellStart"/>
      <w:r w:rsidRPr="00A43020">
        <w:rPr>
          <w:snapToGrid w:val="0"/>
          <w:color w:val="000000"/>
          <w:sz w:val="24"/>
          <w:szCs w:val="24"/>
        </w:rPr>
        <w:t>нисковъглеродни</w:t>
      </w:r>
      <w:proofErr w:type="spellEnd"/>
      <w:r w:rsidRPr="00A43020">
        <w:rPr>
          <w:snapToGrid w:val="0"/>
          <w:color w:val="000000"/>
          <w:sz w:val="24"/>
          <w:szCs w:val="24"/>
        </w:rPr>
        <w:t xml:space="preserve"> транспортни системи, намаляване на задръстванията в столицата, подобряване на качеството на атмосферния въздух, намаляване на </w:t>
      </w:r>
      <w:proofErr w:type="spellStart"/>
      <w:r w:rsidRPr="00A43020">
        <w:rPr>
          <w:snapToGrid w:val="0"/>
          <w:color w:val="000000"/>
          <w:sz w:val="24"/>
          <w:szCs w:val="24"/>
        </w:rPr>
        <w:t>запрашаването</w:t>
      </w:r>
      <w:proofErr w:type="spellEnd"/>
      <w:r w:rsidRPr="00A43020">
        <w:rPr>
          <w:snapToGrid w:val="0"/>
          <w:color w:val="000000"/>
          <w:sz w:val="24"/>
          <w:szCs w:val="24"/>
        </w:rPr>
        <w:t xml:space="preserve"> и подобряване на качеството на живот на хората;</w:t>
      </w:r>
    </w:p>
    <w:p w:rsidR="00A43020" w:rsidRPr="00A43020" w:rsidRDefault="00A43020" w:rsidP="00A43020">
      <w:pPr>
        <w:pStyle w:val="ListParagraph"/>
        <w:widowControl w:val="0"/>
        <w:numPr>
          <w:ilvl w:val="0"/>
          <w:numId w:val="3"/>
        </w:numPr>
        <w:tabs>
          <w:tab w:val="clear" w:pos="720"/>
          <w:tab w:val="num" w:pos="1069"/>
        </w:tabs>
        <w:spacing w:after="120" w:line="20" w:lineRule="atLeast"/>
        <w:ind w:left="360"/>
        <w:contextualSpacing w:val="0"/>
        <w:jc w:val="both"/>
        <w:rPr>
          <w:snapToGrid w:val="0"/>
          <w:color w:val="000000"/>
          <w:szCs w:val="24"/>
        </w:rPr>
      </w:pPr>
      <w:r w:rsidRPr="00A43020">
        <w:rPr>
          <w:snapToGrid w:val="0"/>
          <w:color w:val="000000"/>
          <w:szCs w:val="24"/>
        </w:rPr>
        <w:t>По отношение на приоритетна ос 4: във Втори и Актуализиран Втори варианти отпада финансирането за закупуване на локомотиви за подвижния състав на БДЖ, като за сметка на това е добавена нова дейност, свързана с предотвратяване на значим съществуващ екологичен проблем на сектор „транспорт”, и в частност – воден транспорт – липсата на адекватни дейности и съоръжения за управление на потока от отпадъци от корабите на българските пристанища. Друг значим екологичен ефект, който ще се постигне, е подобряване на управлението на околната среда в обектите на гражданското въздухоплаване от предвидената за това дейност отново във Втори и в Актуализиран Втори варианти на програмата</w:t>
      </w:r>
      <w:r w:rsidRPr="00A43020">
        <w:rPr>
          <w:snapToGrid w:val="0"/>
          <w:color w:val="000000"/>
          <w:szCs w:val="24"/>
          <w:lang w:eastAsia="en-US"/>
        </w:rPr>
        <w:t>.</w:t>
      </w:r>
    </w:p>
    <w:p w:rsidR="00A43020" w:rsidRDefault="00A43020" w:rsidP="00A43020">
      <w:pPr>
        <w:jc w:val="both"/>
      </w:pPr>
    </w:p>
    <w:p w:rsidR="00231C03" w:rsidRPr="002746DD" w:rsidRDefault="00AE2073" w:rsidP="00A43020">
      <w:pPr>
        <w:jc w:val="both"/>
      </w:pPr>
      <w:r w:rsidRPr="002746DD">
        <w:t xml:space="preserve">Предвидените в </w:t>
      </w:r>
      <w:r w:rsidR="00567586">
        <w:t>ОПТТИ</w:t>
      </w:r>
      <w:r w:rsidRPr="002746DD">
        <w:t xml:space="preserve"> цели и мерки за постигането на </w:t>
      </w:r>
      <w:r w:rsidR="00D36070" w:rsidRPr="002746DD">
        <w:t>основн</w:t>
      </w:r>
      <w:r w:rsidR="00567586">
        <w:t>ата</w:t>
      </w:r>
      <w:r w:rsidR="00D36070" w:rsidRPr="002746DD">
        <w:t xml:space="preserve"> </w:t>
      </w:r>
      <w:r w:rsidR="00567586">
        <w:t xml:space="preserve">цел </w:t>
      </w:r>
      <w:r w:rsidR="00A43020">
        <w:t>„</w:t>
      </w:r>
      <w:r w:rsidR="00A43020" w:rsidRPr="0082115A">
        <w:rPr>
          <w:szCs w:val="24"/>
        </w:rPr>
        <w:t>Развитие на устойчива транспортна система</w:t>
      </w:r>
      <w:r w:rsidR="00A43020">
        <w:rPr>
          <w:szCs w:val="24"/>
        </w:rPr>
        <w:t>“</w:t>
      </w:r>
      <w:r w:rsidRPr="002746DD">
        <w:t xml:space="preserve">, заедно с предложените в Становището по екологичната оценка мерки и условия за предотвратяване, намаляване или възможно най-пълно отстраняване на предполагаемите неблагоприятни последствия от прилагането на </w:t>
      </w:r>
      <w:r w:rsidR="00567586">
        <w:t>ОПТТИ</w:t>
      </w:r>
      <w:r w:rsidRPr="002746DD">
        <w:t xml:space="preserve"> и мерките за наблюдение и контрол при прилагане на </w:t>
      </w:r>
      <w:r w:rsidR="00567586">
        <w:t>ОПТТИ</w:t>
      </w:r>
      <w:r w:rsidRPr="002746DD">
        <w:t xml:space="preserve"> са допустими за осъществяване, предвид изискванията за опазване на околната среда. </w:t>
      </w:r>
    </w:p>
    <w:p w:rsidR="00A43020" w:rsidRDefault="00AE2073" w:rsidP="00A43020">
      <w:pPr>
        <w:jc w:val="both"/>
      </w:pPr>
      <w:r w:rsidRPr="002746DD">
        <w:lastRenderedPageBreak/>
        <w:t xml:space="preserve">Цялостното въздействие на </w:t>
      </w:r>
      <w:r w:rsidR="00567586">
        <w:t>ОПТТИ</w:t>
      </w:r>
      <w:r w:rsidRPr="002746DD">
        <w:t xml:space="preserve">, с прилагането на предложените в Становището по екологичната оценка мерки за отразяване в окончателния вариант на </w:t>
      </w:r>
      <w:r w:rsidR="00567586">
        <w:t>ОПТТИ</w:t>
      </w:r>
      <w:r w:rsidRPr="002746DD">
        <w:t xml:space="preserve">, заедно с мерките, които да се имат предвид при прилагането на </w:t>
      </w:r>
      <w:r w:rsidR="00567586">
        <w:t>ОПТТИ</w:t>
      </w:r>
      <w:r w:rsidRPr="002746DD">
        <w:t xml:space="preserve">, </w:t>
      </w:r>
      <w:r w:rsidR="00A43020">
        <w:t xml:space="preserve">се </w:t>
      </w:r>
      <w:r w:rsidR="00A43020" w:rsidRPr="00A43020">
        <w:t xml:space="preserve">очаква </w:t>
      </w:r>
      <w:r w:rsidR="00A43020">
        <w:t xml:space="preserve">да </w:t>
      </w:r>
      <w:r w:rsidR="00A43020" w:rsidRPr="00A43020">
        <w:t>предотвратя</w:t>
      </w:r>
      <w:r w:rsidR="00A43020">
        <w:t>т</w:t>
      </w:r>
      <w:r w:rsidR="00A43020" w:rsidRPr="00A43020">
        <w:t xml:space="preserve"> </w:t>
      </w:r>
      <w:r w:rsidR="00102D22">
        <w:t xml:space="preserve">или намалят до минимум </w:t>
      </w:r>
      <w:r w:rsidR="00A43020" w:rsidRPr="00A43020">
        <w:t xml:space="preserve">евентуалните отрицателни последици и </w:t>
      </w:r>
      <w:r w:rsidR="00A43020">
        <w:t xml:space="preserve">да </w:t>
      </w:r>
      <w:r w:rsidR="00A43020" w:rsidRPr="00A43020">
        <w:t>интегрира</w:t>
      </w:r>
      <w:r w:rsidR="00A43020">
        <w:t xml:space="preserve">т </w:t>
      </w:r>
      <w:r w:rsidR="00A43020" w:rsidRPr="00A43020">
        <w:t xml:space="preserve"> екологичният аспект на устойчивостта в транспортното развитие. Част от предлаганите в ОПТТИ проекти имат директен принос към опазване на околната среда - по-добрата организация на транспортните маршрути, развитието на устойчива </w:t>
      </w:r>
      <w:proofErr w:type="spellStart"/>
      <w:r w:rsidR="00A43020" w:rsidRPr="00A43020">
        <w:t>интермодална</w:t>
      </w:r>
      <w:proofErr w:type="spellEnd"/>
      <w:r w:rsidR="00A43020" w:rsidRPr="00A43020">
        <w:t xml:space="preserve"> мобилност, даването на приоритет на използването на </w:t>
      </w:r>
      <w:proofErr w:type="spellStart"/>
      <w:r w:rsidR="00A43020" w:rsidRPr="00A43020">
        <w:t>нисковъглеродни</w:t>
      </w:r>
      <w:proofErr w:type="spellEnd"/>
      <w:r w:rsidR="00A43020" w:rsidRPr="00A43020">
        <w:t xml:space="preserve"> технологии по отношение на транспорта, прилагането на предвидените в програмата мерки за опазване на околната среда ще имат благоприятно въздействие върху качеството на атмосферния въздух и климата и опазване на биоразнообразието. Рехабилитацията на съществуващите транспортни маршрути и построяване на нови, заобикалящи населените места, ще спомогнат за подобряване на качеството на въздуха в населените места и зоните с допълнително индустриално замърсяване.</w:t>
      </w:r>
    </w:p>
    <w:p w:rsidR="00AE2073" w:rsidRPr="002746DD" w:rsidRDefault="00AE2073" w:rsidP="00A43020">
      <w:pPr>
        <w:jc w:val="both"/>
      </w:pPr>
      <w:r w:rsidRPr="002746DD">
        <w:t xml:space="preserve">Тези резултати, както и останалите дейности и въздействия по отношение на околната среда, имат общонационален характер и мащаби. </w:t>
      </w:r>
    </w:p>
    <w:p w:rsidR="00A43020" w:rsidRDefault="00A43020" w:rsidP="00A43020">
      <w:pPr>
        <w:jc w:val="both"/>
      </w:pPr>
      <w:r w:rsidRPr="00A43020">
        <w:t>Анализът на наличните алтернативи, включително „нулевата“ алтернатива (т.2.2 на доклада за ЕО) за реализиране на ОПТТИ показва, че най-екологичен и насочен към опазване на околната среда и устойчиво развитие, както и с най- малко очаквани негативни последици за околната среда и човешкото здраве (предвид ограничения брой индикативни проекти спрямо Първи и Втори вариант) е Актуализирания Втори вариант, подробно разгледан и оценен в доклада за ЕО (съгласно анализите на алтернативите, представени в т.8 на доклада за ЕО).</w:t>
      </w:r>
    </w:p>
    <w:p w:rsidR="00D73EB8" w:rsidRDefault="00493019" w:rsidP="00A43020">
      <w:pPr>
        <w:jc w:val="both"/>
      </w:pPr>
      <w:r w:rsidRPr="005B472A">
        <w:t xml:space="preserve">Проектът на </w:t>
      </w:r>
      <w:r w:rsidR="00D73EB8" w:rsidRPr="005B472A">
        <w:t xml:space="preserve">ОПТТИ съответства на </w:t>
      </w:r>
      <w:r w:rsidRPr="005B472A">
        <w:t xml:space="preserve">Актуализирания Втори вариант на програмата, който е обоснован в Становището по ЕО като предпочитана алтернатива, включително предвид резултатите от консултациите </w:t>
      </w:r>
      <w:r w:rsidR="00795FE9" w:rsidRPr="005B472A">
        <w:t xml:space="preserve">със </w:t>
      </w:r>
      <w:r w:rsidRPr="005B472A">
        <w:t>заинтересуваните органи и обществеността</w:t>
      </w:r>
      <w:r w:rsidR="00795FE9" w:rsidRPr="005B472A">
        <w:t>.</w:t>
      </w:r>
      <w:r>
        <w:t xml:space="preserve">  </w:t>
      </w:r>
      <w:bookmarkStart w:id="0" w:name="_GoBack"/>
      <w:bookmarkEnd w:id="0"/>
    </w:p>
    <w:p w:rsidR="00AE2073" w:rsidRPr="004B388F" w:rsidRDefault="00AE2073" w:rsidP="00A43020">
      <w:pPr>
        <w:pStyle w:val="Heading1"/>
        <w:jc w:val="both"/>
        <w:rPr>
          <w:color w:val="auto"/>
        </w:rPr>
      </w:pPr>
      <w:r w:rsidRPr="004B388F">
        <w:rPr>
          <w:color w:val="auto"/>
        </w:rPr>
        <w:t>3.</w:t>
      </w:r>
      <w:r w:rsidRPr="004B388F">
        <w:rPr>
          <w:color w:val="auto"/>
        </w:rPr>
        <w:tab/>
        <w:t xml:space="preserve">Степента, в която условията и мерките от Становището по екологичната оценка са предвидени в </w:t>
      </w:r>
      <w:r w:rsidR="00567586" w:rsidRPr="004B388F">
        <w:rPr>
          <w:color w:val="auto"/>
        </w:rPr>
        <w:t>ОПТТИ</w:t>
      </w:r>
      <w:r w:rsidRPr="004B388F">
        <w:rPr>
          <w:color w:val="auto"/>
        </w:rPr>
        <w:t xml:space="preserve"> </w:t>
      </w:r>
    </w:p>
    <w:p w:rsidR="00B53C96" w:rsidRDefault="00B53C96" w:rsidP="00A43020">
      <w:pPr>
        <w:jc w:val="both"/>
      </w:pPr>
    </w:p>
    <w:p w:rsidR="007840B4" w:rsidRPr="004B388F" w:rsidRDefault="004E0405" w:rsidP="00871FB3">
      <w:pPr>
        <w:jc w:val="both"/>
      </w:pPr>
      <w:r w:rsidRPr="004B388F">
        <w:t>Оперативна програма „Транспорт и транспортна инфраструктура“ 2014-2020 г. е разработвана успоредно с процеса на извършване на екологичната оценка на програмата.</w:t>
      </w:r>
      <w:r w:rsidR="00A430D5" w:rsidRPr="004B388F">
        <w:t xml:space="preserve"> Постигнато е съответствие с екологичните аспекти в проекта на програма, което се вижда от доклада за екологична оценка и приложената към него справка за резултатите от проведените консултации по екологична оценка. </w:t>
      </w:r>
      <w:r w:rsidR="006138C7" w:rsidRPr="004B388F">
        <w:t>Становище по ЕО № 10-6/2014  на министъра на околната среда и водите за съгласуване на Оперативна програма „Транспорт и транспортна инфраструктура“ 2014-2020 г.</w:t>
      </w:r>
      <w:r w:rsidR="007840B4" w:rsidRPr="004B388F">
        <w:t xml:space="preserve"> е издадено на 23.09.14 г.</w:t>
      </w:r>
    </w:p>
    <w:p w:rsidR="004E0405" w:rsidRPr="002A1100" w:rsidRDefault="00687DCC" w:rsidP="005D70CF">
      <w:pPr>
        <w:jc w:val="both"/>
      </w:pPr>
      <w:r w:rsidRPr="002A1100">
        <w:t>При изпълнението на Оперативна програма „Транспорт и транспортна инфраструктура“ 2014-2020 г.</w:t>
      </w:r>
      <w:r w:rsidR="001A0049" w:rsidRPr="002A1100">
        <w:t xml:space="preserve"> ще бъде осигурено прилагане на мерки</w:t>
      </w:r>
      <w:r w:rsidR="00A56BF0" w:rsidRPr="002A1100">
        <w:t>те</w:t>
      </w:r>
      <w:r w:rsidR="001A0049" w:rsidRPr="002A1100">
        <w:t xml:space="preserve"> и условия</w:t>
      </w:r>
      <w:r w:rsidR="00A56BF0" w:rsidRPr="002A1100">
        <w:t>та</w:t>
      </w:r>
      <w:r w:rsidR="001A0049" w:rsidRPr="002A1100">
        <w:t xml:space="preserve"> от Становище по ЕО № 10-6/2014  на министъра на околната среда и водите</w:t>
      </w:r>
      <w:r w:rsidR="00A56BF0" w:rsidRPr="002A1100">
        <w:t>.</w:t>
      </w:r>
    </w:p>
    <w:p w:rsidR="00A56BF0" w:rsidRPr="002A1100" w:rsidRDefault="00A56BF0" w:rsidP="00D72AE9">
      <w:pPr>
        <w:jc w:val="both"/>
      </w:pPr>
      <w:r w:rsidRPr="002A1100">
        <w:t>М</w:t>
      </w:r>
      <w:r w:rsidR="00C27DF5" w:rsidRPr="002A1100">
        <w:t>ерките и условията за предотвратяване, намаляване или възможно най-пълно отстраняване на предполагаемите неблагоприятни последствия при прилагането на ОПТТИ 2014-2020 г.</w:t>
      </w:r>
      <w:r w:rsidR="00D9327A" w:rsidRPr="002A1100">
        <w:t xml:space="preserve"> от т. І </w:t>
      </w:r>
      <w:r w:rsidR="00D9327A" w:rsidRPr="002A1100">
        <w:lastRenderedPageBreak/>
        <w:t xml:space="preserve">на Становище по ЕО № 10-6/2014 </w:t>
      </w:r>
      <w:r w:rsidR="00B53CCC" w:rsidRPr="002A1100">
        <w:t xml:space="preserve">ще бъдат </w:t>
      </w:r>
      <w:r w:rsidR="00BD63DA" w:rsidRPr="002A1100">
        <w:t>съобразявани</w:t>
      </w:r>
      <w:r w:rsidR="00B53CCC" w:rsidRPr="002A1100">
        <w:t xml:space="preserve"> </w:t>
      </w:r>
      <w:r w:rsidR="00BD63DA" w:rsidRPr="002A1100">
        <w:t xml:space="preserve">при извършване на съответните приложими </w:t>
      </w:r>
      <w:r w:rsidR="00B53CCC" w:rsidRPr="002A1100">
        <w:t>процедури</w:t>
      </w:r>
      <w:r w:rsidR="00BD63DA" w:rsidRPr="002A1100">
        <w:t xml:space="preserve"> по реда на екологичното законодателство</w:t>
      </w:r>
      <w:r w:rsidR="00B53CCC" w:rsidRPr="002A1100">
        <w:t xml:space="preserve">, </w:t>
      </w:r>
      <w:r w:rsidR="00BD63DA" w:rsidRPr="002A1100">
        <w:t>като</w:t>
      </w:r>
      <w:r w:rsidR="00B53CCC" w:rsidRPr="002A1100">
        <w:t xml:space="preserve"> изпълнението </w:t>
      </w:r>
      <w:r w:rsidRPr="002A1100">
        <w:t xml:space="preserve">на тези мерки и условия </w:t>
      </w:r>
      <w:r w:rsidR="00B53CCC" w:rsidRPr="002A1100">
        <w:t>ще бъде отчитано на ниво „бенефициенти“</w:t>
      </w:r>
      <w:r w:rsidR="00A04927" w:rsidRPr="002A1100">
        <w:t xml:space="preserve">. </w:t>
      </w:r>
      <w:r w:rsidRPr="002A1100">
        <w:t xml:space="preserve">По отношение на условието „Приоритетно да се финансират проектни предложения, чието реализиране ще доведе до подобряване на състоянието на околната среда и опазване на човешкото здраве“, в текста на Оперативна програма „Транспорт и транспортна инфраструктура“ 2014-2020 г., по приоритетни оси, са описани водещите принципи за </w:t>
      </w:r>
      <w:proofErr w:type="spellStart"/>
      <w:r w:rsidRPr="002A1100">
        <w:t>приоритизация</w:t>
      </w:r>
      <w:proofErr w:type="spellEnd"/>
      <w:r w:rsidRPr="002A1100">
        <w:t xml:space="preserve"> на проектите в обхвата на програмата. По критерий устойчивост </w:t>
      </w:r>
      <w:r w:rsidRPr="002A1100">
        <w:rPr>
          <w:lang w:val="en-US"/>
        </w:rPr>
        <w:t>(</w:t>
      </w:r>
      <w:r w:rsidRPr="002A1100">
        <w:t>о</w:t>
      </w:r>
      <w:proofErr w:type="spellStart"/>
      <w:r w:rsidRPr="002A1100">
        <w:rPr>
          <w:lang w:val="en-US"/>
        </w:rPr>
        <w:t>сновен</w:t>
      </w:r>
      <w:proofErr w:type="spellEnd"/>
      <w:r w:rsidRPr="002A1100">
        <w:rPr>
          <w:lang w:val="en-US"/>
        </w:rPr>
        <w:t xml:space="preserve"> </w:t>
      </w:r>
      <w:proofErr w:type="spellStart"/>
      <w:r w:rsidRPr="002A1100">
        <w:rPr>
          <w:lang w:val="en-US"/>
        </w:rPr>
        <w:t>критерий</w:t>
      </w:r>
      <w:proofErr w:type="spellEnd"/>
      <w:r w:rsidRPr="002A1100">
        <w:rPr>
          <w:lang w:val="en-US"/>
        </w:rPr>
        <w:t xml:space="preserve"> </w:t>
      </w:r>
      <w:proofErr w:type="spellStart"/>
      <w:r w:rsidRPr="002A1100">
        <w:rPr>
          <w:lang w:val="en-US"/>
        </w:rPr>
        <w:t>при</w:t>
      </w:r>
      <w:proofErr w:type="spellEnd"/>
      <w:r w:rsidRPr="002A1100">
        <w:rPr>
          <w:lang w:val="en-US"/>
        </w:rPr>
        <w:t xml:space="preserve"> </w:t>
      </w:r>
      <w:proofErr w:type="spellStart"/>
      <w:r w:rsidRPr="002A1100">
        <w:rPr>
          <w:lang w:val="en-US"/>
        </w:rPr>
        <w:t>подбора</w:t>
      </w:r>
      <w:proofErr w:type="spellEnd"/>
      <w:r w:rsidRPr="002A1100">
        <w:rPr>
          <w:lang w:val="en-US"/>
        </w:rPr>
        <w:t xml:space="preserve"> </w:t>
      </w:r>
      <w:proofErr w:type="spellStart"/>
      <w:r w:rsidRPr="002A1100">
        <w:rPr>
          <w:lang w:val="en-US"/>
        </w:rPr>
        <w:t>на</w:t>
      </w:r>
      <w:proofErr w:type="spellEnd"/>
      <w:r w:rsidRPr="002A1100">
        <w:rPr>
          <w:lang w:val="en-US"/>
        </w:rPr>
        <w:t xml:space="preserve"> </w:t>
      </w:r>
      <w:proofErr w:type="spellStart"/>
      <w:r w:rsidRPr="002A1100">
        <w:rPr>
          <w:lang w:val="en-US"/>
        </w:rPr>
        <w:t>проектите</w:t>
      </w:r>
      <w:proofErr w:type="spellEnd"/>
      <w:r w:rsidRPr="002A1100">
        <w:rPr>
          <w:lang w:val="en-US"/>
        </w:rPr>
        <w:t xml:space="preserve">) </w:t>
      </w:r>
      <w:r w:rsidRPr="002A1100">
        <w:t xml:space="preserve">е оценено в каква степен по проекта са осигурени консенсус и партньорство между участниците, както и по какъв начин се гарантира осигуряването на устойчивост на околната среда, включително осигуряването на възможности за адаптация и повишена устойчивост към изменението на климата.  </w:t>
      </w:r>
    </w:p>
    <w:p w:rsidR="000E13BC" w:rsidRPr="002A1100" w:rsidRDefault="00D72AE9" w:rsidP="002112C4">
      <w:pPr>
        <w:jc w:val="both"/>
      </w:pPr>
      <w:r w:rsidRPr="002A1100">
        <w:t>Н</w:t>
      </w:r>
      <w:r w:rsidR="00CF23E7" w:rsidRPr="002A1100">
        <w:t xml:space="preserve">а всеки три години от </w:t>
      </w:r>
      <w:r w:rsidRPr="002A1100">
        <w:t xml:space="preserve">прилагането на </w:t>
      </w:r>
      <w:r w:rsidR="00BB39BF" w:rsidRPr="002A1100">
        <w:t>ОПТТИ от</w:t>
      </w:r>
      <w:r w:rsidRPr="002A1100">
        <w:t xml:space="preserve"> </w:t>
      </w:r>
      <w:r w:rsidR="00CF23E7" w:rsidRPr="002A1100">
        <w:t>Управляващия орган на програмата ще бъдат изготвяни доклади по наблюдение и контрол на въздействието върху околната среда</w:t>
      </w:r>
      <w:r w:rsidR="00F937C3" w:rsidRPr="002A1100">
        <w:t>, които ще съдържат информация за изпълнението на мерките и условията от т. І на Становище</w:t>
      </w:r>
      <w:r w:rsidR="009E40FB" w:rsidRPr="002A1100">
        <w:t xml:space="preserve"> по ЕО № 10-6/2014 и анализи на данните по мерките и индикаторите, определени в т. ІІ. 2 </w:t>
      </w:r>
      <w:r w:rsidR="00AE7C59" w:rsidRPr="002A1100">
        <w:t xml:space="preserve">на Становище </w:t>
      </w:r>
      <w:r w:rsidR="009E40FB" w:rsidRPr="002A1100">
        <w:t>по ЕО № 10-6/2014</w:t>
      </w:r>
      <w:r w:rsidR="00BB39BF" w:rsidRPr="002A1100">
        <w:t xml:space="preserve"> </w:t>
      </w:r>
      <w:r w:rsidRPr="002A1100">
        <w:t xml:space="preserve"> мерки за наблюдение и контрол при прилагането на ОПТТИ 2014-2020</w:t>
      </w:r>
      <w:r w:rsidR="00F937C3" w:rsidRPr="002A1100">
        <w:t>.</w:t>
      </w:r>
      <w:r w:rsidR="00CF23E7" w:rsidRPr="002A1100">
        <w:t xml:space="preserve">  </w:t>
      </w:r>
      <w:r w:rsidR="001E47C8" w:rsidRPr="002A1100">
        <w:t xml:space="preserve"> </w:t>
      </w:r>
      <w:r w:rsidR="00415DE8" w:rsidRPr="002A1100">
        <w:t>При констатирани неблагоприятни последствия върху околната среда и</w:t>
      </w:r>
      <w:r w:rsidR="000340C9" w:rsidRPr="002A1100">
        <w:t>/или</w:t>
      </w:r>
      <w:r w:rsidR="00415DE8" w:rsidRPr="002A1100">
        <w:t xml:space="preserve"> човешкото здраве</w:t>
      </w:r>
      <w:r w:rsidR="000340C9" w:rsidRPr="002A1100">
        <w:t xml:space="preserve"> ще бъдат предлагани и предприемани своевременни мерки за възможното им отстраняване.</w:t>
      </w:r>
      <w:r w:rsidR="00415DE8" w:rsidRPr="002A1100">
        <w:t xml:space="preserve"> </w:t>
      </w:r>
      <w:r w:rsidR="001E512E" w:rsidRPr="002A1100">
        <w:t xml:space="preserve"> </w:t>
      </w:r>
      <w:r w:rsidR="00C27DF5" w:rsidRPr="002A1100">
        <w:t xml:space="preserve"> </w:t>
      </w:r>
    </w:p>
    <w:p w:rsidR="00CA473F" w:rsidRPr="005D70CF" w:rsidRDefault="00CA473F" w:rsidP="00043EDB">
      <w:pPr>
        <w:jc w:val="both"/>
      </w:pPr>
    </w:p>
    <w:p w:rsidR="009D3621" w:rsidRPr="009D3621" w:rsidRDefault="009D3621" w:rsidP="00A43020">
      <w:pPr>
        <w:jc w:val="both"/>
      </w:pPr>
    </w:p>
    <w:sectPr w:rsidR="009D3621" w:rsidRPr="009D362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C1B" w:rsidRDefault="000C3C1B" w:rsidP="00FE0485">
      <w:pPr>
        <w:spacing w:after="0" w:line="240" w:lineRule="auto"/>
      </w:pPr>
      <w:r>
        <w:separator/>
      </w:r>
    </w:p>
  </w:endnote>
  <w:endnote w:type="continuationSeparator" w:id="0">
    <w:p w:rsidR="000C3C1B" w:rsidRDefault="000C3C1B" w:rsidP="00FE0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584978"/>
      <w:docPartObj>
        <w:docPartGallery w:val="Page Numbers (Bottom of Page)"/>
        <w:docPartUnique/>
      </w:docPartObj>
    </w:sdtPr>
    <w:sdtEndPr>
      <w:rPr>
        <w:noProof/>
      </w:rPr>
    </w:sdtEndPr>
    <w:sdtContent>
      <w:p w:rsidR="00FE0485" w:rsidRDefault="00FE0485">
        <w:pPr>
          <w:pStyle w:val="Footer"/>
          <w:jc w:val="right"/>
        </w:pPr>
        <w:r>
          <w:fldChar w:fldCharType="begin"/>
        </w:r>
        <w:r>
          <w:instrText xml:space="preserve"> PAGE   \* MERGEFORMAT </w:instrText>
        </w:r>
        <w:r>
          <w:fldChar w:fldCharType="separate"/>
        </w:r>
        <w:r w:rsidR="005B472A">
          <w:rPr>
            <w:noProof/>
          </w:rPr>
          <w:t>5</w:t>
        </w:r>
        <w:r>
          <w:rPr>
            <w:noProof/>
          </w:rPr>
          <w:fldChar w:fldCharType="end"/>
        </w:r>
      </w:p>
    </w:sdtContent>
  </w:sdt>
  <w:p w:rsidR="00FE0485" w:rsidRDefault="00FE04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C1B" w:rsidRDefault="000C3C1B" w:rsidP="00FE0485">
      <w:pPr>
        <w:spacing w:after="0" w:line="240" w:lineRule="auto"/>
      </w:pPr>
      <w:r>
        <w:separator/>
      </w:r>
    </w:p>
  </w:footnote>
  <w:footnote w:type="continuationSeparator" w:id="0">
    <w:p w:rsidR="000C3C1B" w:rsidRDefault="000C3C1B" w:rsidP="00FE04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8E"/>
    <w:multiLevelType w:val="singleLevel"/>
    <w:tmpl w:val="0000008E"/>
    <w:lvl w:ilvl="0">
      <w:start w:val="1"/>
      <w:numFmt w:val="bullet"/>
      <w:lvlText w:val=""/>
      <w:lvlJc w:val="left"/>
      <w:pPr>
        <w:tabs>
          <w:tab w:val="num" w:pos="720"/>
        </w:tabs>
        <w:ind w:left="720" w:hanging="360"/>
      </w:pPr>
      <w:rPr>
        <w:rFonts w:ascii="Symbol" w:hAnsi="Symbol"/>
      </w:rPr>
    </w:lvl>
  </w:abstractNum>
  <w:abstractNum w:abstractNumId="1">
    <w:nsid w:val="1AA1559C"/>
    <w:multiLevelType w:val="hybridMultilevel"/>
    <w:tmpl w:val="2CF293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5D9606DA"/>
    <w:multiLevelType w:val="hybridMultilevel"/>
    <w:tmpl w:val="0FFC83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61775CB3"/>
    <w:multiLevelType w:val="hybridMultilevel"/>
    <w:tmpl w:val="37701A94"/>
    <w:lvl w:ilvl="0" w:tplc="2294D1CC">
      <w:start w:val="1"/>
      <w:numFmt w:val="bullet"/>
      <w:lvlText w:val="•"/>
      <w:lvlJc w:val="left"/>
      <w:pPr>
        <w:tabs>
          <w:tab w:val="num" w:pos="720"/>
        </w:tabs>
        <w:ind w:left="720" w:hanging="360"/>
      </w:pPr>
      <w:rPr>
        <w:rFonts w:ascii="Arial" w:hAnsi="Arial" w:hint="default"/>
      </w:rPr>
    </w:lvl>
    <w:lvl w:ilvl="1" w:tplc="0ADC0D2C" w:tentative="1">
      <w:start w:val="1"/>
      <w:numFmt w:val="bullet"/>
      <w:lvlText w:val="•"/>
      <w:lvlJc w:val="left"/>
      <w:pPr>
        <w:tabs>
          <w:tab w:val="num" w:pos="1440"/>
        </w:tabs>
        <w:ind w:left="1440" w:hanging="360"/>
      </w:pPr>
      <w:rPr>
        <w:rFonts w:ascii="Arial" w:hAnsi="Arial" w:hint="default"/>
      </w:rPr>
    </w:lvl>
    <w:lvl w:ilvl="2" w:tplc="A5D0C076" w:tentative="1">
      <w:start w:val="1"/>
      <w:numFmt w:val="bullet"/>
      <w:lvlText w:val="•"/>
      <w:lvlJc w:val="left"/>
      <w:pPr>
        <w:tabs>
          <w:tab w:val="num" w:pos="2160"/>
        </w:tabs>
        <w:ind w:left="2160" w:hanging="360"/>
      </w:pPr>
      <w:rPr>
        <w:rFonts w:ascii="Arial" w:hAnsi="Arial" w:hint="default"/>
      </w:rPr>
    </w:lvl>
    <w:lvl w:ilvl="3" w:tplc="E2964E0C" w:tentative="1">
      <w:start w:val="1"/>
      <w:numFmt w:val="bullet"/>
      <w:lvlText w:val="•"/>
      <w:lvlJc w:val="left"/>
      <w:pPr>
        <w:tabs>
          <w:tab w:val="num" w:pos="2880"/>
        </w:tabs>
        <w:ind w:left="2880" w:hanging="360"/>
      </w:pPr>
      <w:rPr>
        <w:rFonts w:ascii="Arial" w:hAnsi="Arial" w:hint="default"/>
      </w:rPr>
    </w:lvl>
    <w:lvl w:ilvl="4" w:tplc="7D56AD62" w:tentative="1">
      <w:start w:val="1"/>
      <w:numFmt w:val="bullet"/>
      <w:lvlText w:val="•"/>
      <w:lvlJc w:val="left"/>
      <w:pPr>
        <w:tabs>
          <w:tab w:val="num" w:pos="3600"/>
        </w:tabs>
        <w:ind w:left="3600" w:hanging="360"/>
      </w:pPr>
      <w:rPr>
        <w:rFonts w:ascii="Arial" w:hAnsi="Arial" w:hint="default"/>
      </w:rPr>
    </w:lvl>
    <w:lvl w:ilvl="5" w:tplc="2DB02744" w:tentative="1">
      <w:start w:val="1"/>
      <w:numFmt w:val="bullet"/>
      <w:lvlText w:val="•"/>
      <w:lvlJc w:val="left"/>
      <w:pPr>
        <w:tabs>
          <w:tab w:val="num" w:pos="4320"/>
        </w:tabs>
        <w:ind w:left="4320" w:hanging="360"/>
      </w:pPr>
      <w:rPr>
        <w:rFonts w:ascii="Arial" w:hAnsi="Arial" w:hint="default"/>
      </w:rPr>
    </w:lvl>
    <w:lvl w:ilvl="6" w:tplc="E6D64F90" w:tentative="1">
      <w:start w:val="1"/>
      <w:numFmt w:val="bullet"/>
      <w:lvlText w:val="•"/>
      <w:lvlJc w:val="left"/>
      <w:pPr>
        <w:tabs>
          <w:tab w:val="num" w:pos="5040"/>
        </w:tabs>
        <w:ind w:left="5040" w:hanging="360"/>
      </w:pPr>
      <w:rPr>
        <w:rFonts w:ascii="Arial" w:hAnsi="Arial" w:hint="default"/>
      </w:rPr>
    </w:lvl>
    <w:lvl w:ilvl="7" w:tplc="D4FEAB20" w:tentative="1">
      <w:start w:val="1"/>
      <w:numFmt w:val="bullet"/>
      <w:lvlText w:val="•"/>
      <w:lvlJc w:val="left"/>
      <w:pPr>
        <w:tabs>
          <w:tab w:val="num" w:pos="5760"/>
        </w:tabs>
        <w:ind w:left="5760" w:hanging="360"/>
      </w:pPr>
      <w:rPr>
        <w:rFonts w:ascii="Arial" w:hAnsi="Arial" w:hint="default"/>
      </w:rPr>
    </w:lvl>
    <w:lvl w:ilvl="8" w:tplc="96026A32" w:tentative="1">
      <w:start w:val="1"/>
      <w:numFmt w:val="bullet"/>
      <w:lvlText w:val="•"/>
      <w:lvlJc w:val="left"/>
      <w:pPr>
        <w:tabs>
          <w:tab w:val="num" w:pos="6480"/>
        </w:tabs>
        <w:ind w:left="6480" w:hanging="360"/>
      </w:pPr>
      <w:rPr>
        <w:rFonts w:ascii="Arial" w:hAnsi="Arial" w:hint="default"/>
      </w:rPr>
    </w:lvl>
  </w:abstractNum>
  <w:abstractNum w:abstractNumId="4">
    <w:nsid w:val="7AE31684"/>
    <w:multiLevelType w:val="hybridMultilevel"/>
    <w:tmpl w:val="EED4BC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073"/>
    <w:rsid w:val="000212A1"/>
    <w:rsid w:val="000340C9"/>
    <w:rsid w:val="00043EDB"/>
    <w:rsid w:val="00053238"/>
    <w:rsid w:val="000541F6"/>
    <w:rsid w:val="000C3C1B"/>
    <w:rsid w:val="000D4013"/>
    <w:rsid w:val="000D6625"/>
    <w:rsid w:val="000E13BC"/>
    <w:rsid w:val="000F4F78"/>
    <w:rsid w:val="000F593E"/>
    <w:rsid w:val="00102D22"/>
    <w:rsid w:val="00115102"/>
    <w:rsid w:val="0012730E"/>
    <w:rsid w:val="00130A07"/>
    <w:rsid w:val="0016630B"/>
    <w:rsid w:val="00187F53"/>
    <w:rsid w:val="00196D62"/>
    <w:rsid w:val="001A0049"/>
    <w:rsid w:val="001E3CB8"/>
    <w:rsid w:val="001E47C8"/>
    <w:rsid w:val="001E512E"/>
    <w:rsid w:val="001F149F"/>
    <w:rsid w:val="00210461"/>
    <w:rsid w:val="002112C4"/>
    <w:rsid w:val="00231A91"/>
    <w:rsid w:val="00231C03"/>
    <w:rsid w:val="00240D97"/>
    <w:rsid w:val="002647E2"/>
    <w:rsid w:val="002746DD"/>
    <w:rsid w:val="0027645F"/>
    <w:rsid w:val="002A1100"/>
    <w:rsid w:val="002A3AB4"/>
    <w:rsid w:val="002C29F7"/>
    <w:rsid w:val="002D378D"/>
    <w:rsid w:val="002D45D6"/>
    <w:rsid w:val="002D5075"/>
    <w:rsid w:val="002F42C0"/>
    <w:rsid w:val="00312154"/>
    <w:rsid w:val="00362196"/>
    <w:rsid w:val="003A480E"/>
    <w:rsid w:val="003C1376"/>
    <w:rsid w:val="00413F47"/>
    <w:rsid w:val="00415DE8"/>
    <w:rsid w:val="00432755"/>
    <w:rsid w:val="00493019"/>
    <w:rsid w:val="00497BE9"/>
    <w:rsid w:val="004A0B5B"/>
    <w:rsid w:val="004B388F"/>
    <w:rsid w:val="004E0405"/>
    <w:rsid w:val="004E16B9"/>
    <w:rsid w:val="004E3C77"/>
    <w:rsid w:val="004E4A30"/>
    <w:rsid w:val="004E57F8"/>
    <w:rsid w:val="00505323"/>
    <w:rsid w:val="00567586"/>
    <w:rsid w:val="00584049"/>
    <w:rsid w:val="005A7BA4"/>
    <w:rsid w:val="005B2804"/>
    <w:rsid w:val="005B472A"/>
    <w:rsid w:val="005C4936"/>
    <w:rsid w:val="005C6176"/>
    <w:rsid w:val="005D70CF"/>
    <w:rsid w:val="006138C7"/>
    <w:rsid w:val="00650335"/>
    <w:rsid w:val="00687DCC"/>
    <w:rsid w:val="006B0A28"/>
    <w:rsid w:val="006E043A"/>
    <w:rsid w:val="007243FD"/>
    <w:rsid w:val="00724EEE"/>
    <w:rsid w:val="0075443F"/>
    <w:rsid w:val="007840B4"/>
    <w:rsid w:val="007862EA"/>
    <w:rsid w:val="007925F3"/>
    <w:rsid w:val="00795FE9"/>
    <w:rsid w:val="007F2F25"/>
    <w:rsid w:val="00815D9F"/>
    <w:rsid w:val="00826A7D"/>
    <w:rsid w:val="00833001"/>
    <w:rsid w:val="008644D6"/>
    <w:rsid w:val="00871FB3"/>
    <w:rsid w:val="009254B9"/>
    <w:rsid w:val="00947413"/>
    <w:rsid w:val="0096260A"/>
    <w:rsid w:val="00963824"/>
    <w:rsid w:val="0098259B"/>
    <w:rsid w:val="009A260C"/>
    <w:rsid w:val="009A49C8"/>
    <w:rsid w:val="009C0149"/>
    <w:rsid w:val="009C6962"/>
    <w:rsid w:val="009D3621"/>
    <w:rsid w:val="009E40FB"/>
    <w:rsid w:val="009F7BB3"/>
    <w:rsid w:val="00A00D83"/>
    <w:rsid w:val="00A01B19"/>
    <w:rsid w:val="00A04927"/>
    <w:rsid w:val="00A15955"/>
    <w:rsid w:val="00A4237B"/>
    <w:rsid w:val="00A43020"/>
    <w:rsid w:val="00A430D5"/>
    <w:rsid w:val="00A45F32"/>
    <w:rsid w:val="00A56BF0"/>
    <w:rsid w:val="00A626C0"/>
    <w:rsid w:val="00A77F4A"/>
    <w:rsid w:val="00A80E88"/>
    <w:rsid w:val="00AA0259"/>
    <w:rsid w:val="00AA11B8"/>
    <w:rsid w:val="00AB472E"/>
    <w:rsid w:val="00AD77E7"/>
    <w:rsid w:val="00AE2073"/>
    <w:rsid w:val="00AE7C59"/>
    <w:rsid w:val="00B03D2B"/>
    <w:rsid w:val="00B03D63"/>
    <w:rsid w:val="00B13D8B"/>
    <w:rsid w:val="00B145C9"/>
    <w:rsid w:val="00B25C76"/>
    <w:rsid w:val="00B30233"/>
    <w:rsid w:val="00B353BB"/>
    <w:rsid w:val="00B42748"/>
    <w:rsid w:val="00B51E93"/>
    <w:rsid w:val="00B53C96"/>
    <w:rsid w:val="00B53CCC"/>
    <w:rsid w:val="00B638BC"/>
    <w:rsid w:val="00B70986"/>
    <w:rsid w:val="00B70BF3"/>
    <w:rsid w:val="00B94428"/>
    <w:rsid w:val="00BB10CE"/>
    <w:rsid w:val="00BB39BF"/>
    <w:rsid w:val="00BC27AB"/>
    <w:rsid w:val="00BC2FDB"/>
    <w:rsid w:val="00BD17B1"/>
    <w:rsid w:val="00BD63DA"/>
    <w:rsid w:val="00BE020D"/>
    <w:rsid w:val="00BF7139"/>
    <w:rsid w:val="00C04879"/>
    <w:rsid w:val="00C079C8"/>
    <w:rsid w:val="00C16B2B"/>
    <w:rsid w:val="00C24AC6"/>
    <w:rsid w:val="00C27DF5"/>
    <w:rsid w:val="00C369C8"/>
    <w:rsid w:val="00C40CD9"/>
    <w:rsid w:val="00C504BC"/>
    <w:rsid w:val="00C524F4"/>
    <w:rsid w:val="00C52F45"/>
    <w:rsid w:val="00C569F8"/>
    <w:rsid w:val="00C61275"/>
    <w:rsid w:val="00C71CAC"/>
    <w:rsid w:val="00CA473F"/>
    <w:rsid w:val="00CB43E2"/>
    <w:rsid w:val="00CC325C"/>
    <w:rsid w:val="00CC7235"/>
    <w:rsid w:val="00CE1526"/>
    <w:rsid w:val="00CF23E7"/>
    <w:rsid w:val="00D03471"/>
    <w:rsid w:val="00D11B87"/>
    <w:rsid w:val="00D36070"/>
    <w:rsid w:val="00D72AE9"/>
    <w:rsid w:val="00D73EB8"/>
    <w:rsid w:val="00D76B0C"/>
    <w:rsid w:val="00D9327A"/>
    <w:rsid w:val="00D96807"/>
    <w:rsid w:val="00DB2E92"/>
    <w:rsid w:val="00DF6863"/>
    <w:rsid w:val="00E17429"/>
    <w:rsid w:val="00E2553F"/>
    <w:rsid w:val="00E27A57"/>
    <w:rsid w:val="00E67DED"/>
    <w:rsid w:val="00E950D9"/>
    <w:rsid w:val="00EA1A22"/>
    <w:rsid w:val="00EC3C7A"/>
    <w:rsid w:val="00EC6419"/>
    <w:rsid w:val="00F43CCC"/>
    <w:rsid w:val="00F5123A"/>
    <w:rsid w:val="00F77BFC"/>
    <w:rsid w:val="00F937C3"/>
    <w:rsid w:val="00FA5A7D"/>
    <w:rsid w:val="00FB2ABB"/>
    <w:rsid w:val="00FB3B9C"/>
    <w:rsid w:val="00FB72B4"/>
    <w:rsid w:val="00FE0485"/>
    <w:rsid w:val="00FE1CEB"/>
    <w:rsid w:val="00FF4686"/>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1C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29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C0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B03D2B"/>
    <w:pPr>
      <w:ind w:left="720"/>
      <w:contextualSpacing/>
    </w:pPr>
  </w:style>
  <w:style w:type="paragraph" w:styleId="Header">
    <w:name w:val="header"/>
    <w:basedOn w:val="Normal"/>
    <w:link w:val="HeaderChar"/>
    <w:uiPriority w:val="99"/>
    <w:unhideWhenUsed/>
    <w:rsid w:val="00FE04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0485"/>
  </w:style>
  <w:style w:type="paragraph" w:styleId="Footer">
    <w:name w:val="footer"/>
    <w:basedOn w:val="Normal"/>
    <w:link w:val="FooterChar"/>
    <w:uiPriority w:val="99"/>
    <w:unhideWhenUsed/>
    <w:rsid w:val="00FE04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0485"/>
  </w:style>
  <w:style w:type="character" w:customStyle="1" w:styleId="ListParagraphChar">
    <w:name w:val="List Paragraph Char"/>
    <w:link w:val="ListParagraph"/>
    <w:uiPriority w:val="34"/>
    <w:locked/>
    <w:rsid w:val="00A43020"/>
  </w:style>
  <w:style w:type="character" w:customStyle="1" w:styleId="Heading2Char">
    <w:name w:val="Heading 2 Char"/>
    <w:basedOn w:val="DefaultParagraphFont"/>
    <w:link w:val="Heading2"/>
    <w:uiPriority w:val="9"/>
    <w:rsid w:val="002C29F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AD77E7"/>
    <w:rPr>
      <w:sz w:val="16"/>
      <w:szCs w:val="16"/>
    </w:rPr>
  </w:style>
  <w:style w:type="paragraph" w:styleId="CommentText">
    <w:name w:val="annotation text"/>
    <w:basedOn w:val="Normal"/>
    <w:link w:val="CommentTextChar"/>
    <w:uiPriority w:val="99"/>
    <w:semiHidden/>
    <w:unhideWhenUsed/>
    <w:rsid w:val="00AD77E7"/>
    <w:pPr>
      <w:spacing w:line="240" w:lineRule="auto"/>
    </w:pPr>
    <w:rPr>
      <w:sz w:val="20"/>
      <w:szCs w:val="20"/>
    </w:rPr>
  </w:style>
  <w:style w:type="character" w:customStyle="1" w:styleId="CommentTextChar">
    <w:name w:val="Comment Text Char"/>
    <w:basedOn w:val="DefaultParagraphFont"/>
    <w:link w:val="CommentText"/>
    <w:uiPriority w:val="99"/>
    <w:semiHidden/>
    <w:rsid w:val="00AD77E7"/>
    <w:rPr>
      <w:sz w:val="20"/>
      <w:szCs w:val="20"/>
    </w:rPr>
  </w:style>
  <w:style w:type="paragraph" w:styleId="CommentSubject">
    <w:name w:val="annotation subject"/>
    <w:basedOn w:val="CommentText"/>
    <w:next w:val="CommentText"/>
    <w:link w:val="CommentSubjectChar"/>
    <w:uiPriority w:val="99"/>
    <w:semiHidden/>
    <w:unhideWhenUsed/>
    <w:rsid w:val="00AD77E7"/>
    <w:rPr>
      <w:b/>
      <w:bCs/>
    </w:rPr>
  </w:style>
  <w:style w:type="character" w:customStyle="1" w:styleId="CommentSubjectChar">
    <w:name w:val="Comment Subject Char"/>
    <w:basedOn w:val="CommentTextChar"/>
    <w:link w:val="CommentSubject"/>
    <w:uiPriority w:val="99"/>
    <w:semiHidden/>
    <w:rsid w:val="00AD77E7"/>
    <w:rPr>
      <w:b/>
      <w:bCs/>
      <w:sz w:val="20"/>
      <w:szCs w:val="20"/>
    </w:rPr>
  </w:style>
  <w:style w:type="paragraph" w:styleId="BalloonText">
    <w:name w:val="Balloon Text"/>
    <w:basedOn w:val="Normal"/>
    <w:link w:val="BalloonTextChar"/>
    <w:uiPriority w:val="99"/>
    <w:semiHidden/>
    <w:unhideWhenUsed/>
    <w:rsid w:val="00AD7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7E7"/>
    <w:rPr>
      <w:rFonts w:ascii="Tahoma" w:hAnsi="Tahoma" w:cs="Tahoma"/>
      <w:sz w:val="16"/>
      <w:szCs w:val="16"/>
    </w:rPr>
  </w:style>
  <w:style w:type="paragraph" w:styleId="Revision">
    <w:name w:val="Revision"/>
    <w:hidden/>
    <w:uiPriority w:val="99"/>
    <w:semiHidden/>
    <w:rsid w:val="00A049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1C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29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C0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B03D2B"/>
    <w:pPr>
      <w:ind w:left="720"/>
      <w:contextualSpacing/>
    </w:pPr>
  </w:style>
  <w:style w:type="paragraph" w:styleId="Header">
    <w:name w:val="header"/>
    <w:basedOn w:val="Normal"/>
    <w:link w:val="HeaderChar"/>
    <w:uiPriority w:val="99"/>
    <w:unhideWhenUsed/>
    <w:rsid w:val="00FE04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0485"/>
  </w:style>
  <w:style w:type="paragraph" w:styleId="Footer">
    <w:name w:val="footer"/>
    <w:basedOn w:val="Normal"/>
    <w:link w:val="FooterChar"/>
    <w:uiPriority w:val="99"/>
    <w:unhideWhenUsed/>
    <w:rsid w:val="00FE04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0485"/>
  </w:style>
  <w:style w:type="character" w:customStyle="1" w:styleId="ListParagraphChar">
    <w:name w:val="List Paragraph Char"/>
    <w:link w:val="ListParagraph"/>
    <w:uiPriority w:val="34"/>
    <w:locked/>
    <w:rsid w:val="00A43020"/>
  </w:style>
  <w:style w:type="character" w:customStyle="1" w:styleId="Heading2Char">
    <w:name w:val="Heading 2 Char"/>
    <w:basedOn w:val="DefaultParagraphFont"/>
    <w:link w:val="Heading2"/>
    <w:uiPriority w:val="9"/>
    <w:rsid w:val="002C29F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AD77E7"/>
    <w:rPr>
      <w:sz w:val="16"/>
      <w:szCs w:val="16"/>
    </w:rPr>
  </w:style>
  <w:style w:type="paragraph" w:styleId="CommentText">
    <w:name w:val="annotation text"/>
    <w:basedOn w:val="Normal"/>
    <w:link w:val="CommentTextChar"/>
    <w:uiPriority w:val="99"/>
    <w:semiHidden/>
    <w:unhideWhenUsed/>
    <w:rsid w:val="00AD77E7"/>
    <w:pPr>
      <w:spacing w:line="240" w:lineRule="auto"/>
    </w:pPr>
    <w:rPr>
      <w:sz w:val="20"/>
      <w:szCs w:val="20"/>
    </w:rPr>
  </w:style>
  <w:style w:type="character" w:customStyle="1" w:styleId="CommentTextChar">
    <w:name w:val="Comment Text Char"/>
    <w:basedOn w:val="DefaultParagraphFont"/>
    <w:link w:val="CommentText"/>
    <w:uiPriority w:val="99"/>
    <w:semiHidden/>
    <w:rsid w:val="00AD77E7"/>
    <w:rPr>
      <w:sz w:val="20"/>
      <w:szCs w:val="20"/>
    </w:rPr>
  </w:style>
  <w:style w:type="paragraph" w:styleId="CommentSubject">
    <w:name w:val="annotation subject"/>
    <w:basedOn w:val="CommentText"/>
    <w:next w:val="CommentText"/>
    <w:link w:val="CommentSubjectChar"/>
    <w:uiPriority w:val="99"/>
    <w:semiHidden/>
    <w:unhideWhenUsed/>
    <w:rsid w:val="00AD77E7"/>
    <w:rPr>
      <w:b/>
      <w:bCs/>
    </w:rPr>
  </w:style>
  <w:style w:type="character" w:customStyle="1" w:styleId="CommentSubjectChar">
    <w:name w:val="Comment Subject Char"/>
    <w:basedOn w:val="CommentTextChar"/>
    <w:link w:val="CommentSubject"/>
    <w:uiPriority w:val="99"/>
    <w:semiHidden/>
    <w:rsid w:val="00AD77E7"/>
    <w:rPr>
      <w:b/>
      <w:bCs/>
      <w:sz w:val="20"/>
      <w:szCs w:val="20"/>
    </w:rPr>
  </w:style>
  <w:style w:type="paragraph" w:styleId="BalloonText">
    <w:name w:val="Balloon Text"/>
    <w:basedOn w:val="Normal"/>
    <w:link w:val="BalloonTextChar"/>
    <w:uiPriority w:val="99"/>
    <w:semiHidden/>
    <w:unhideWhenUsed/>
    <w:rsid w:val="00AD7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7E7"/>
    <w:rPr>
      <w:rFonts w:ascii="Tahoma" w:hAnsi="Tahoma" w:cs="Tahoma"/>
      <w:sz w:val="16"/>
      <w:szCs w:val="16"/>
    </w:rPr>
  </w:style>
  <w:style w:type="paragraph" w:styleId="Revision">
    <w:name w:val="Revision"/>
    <w:hidden/>
    <w:uiPriority w:val="99"/>
    <w:semiHidden/>
    <w:rsid w:val="00A049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811656">
      <w:bodyDiv w:val="1"/>
      <w:marLeft w:val="0"/>
      <w:marRight w:val="0"/>
      <w:marTop w:val="0"/>
      <w:marBottom w:val="0"/>
      <w:divBdr>
        <w:top w:val="none" w:sz="0" w:space="0" w:color="auto"/>
        <w:left w:val="none" w:sz="0" w:space="0" w:color="auto"/>
        <w:bottom w:val="none" w:sz="0" w:space="0" w:color="auto"/>
        <w:right w:val="none" w:sz="0" w:space="0" w:color="auto"/>
      </w:divBdr>
      <w:divsChild>
        <w:div w:id="120660131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2425</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Iva Chervenkova</cp:lastModifiedBy>
  <cp:revision>16</cp:revision>
  <cp:lastPrinted>2014-10-07T12:07:00Z</cp:lastPrinted>
  <dcterms:created xsi:type="dcterms:W3CDTF">2014-10-07T11:53:00Z</dcterms:created>
  <dcterms:modified xsi:type="dcterms:W3CDTF">2014-10-07T12:41:00Z</dcterms:modified>
</cp:coreProperties>
</file>