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291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Шишманци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0.92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h91F0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смесени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Quercus</w:t>
            </w:r>
            <w:r>
              <w:rPr>
                <w:rFonts w:ascii="Garamond" w:hAnsi="Garamond"/>
                <w:spacing w:val="-1"/>
                <w:sz w:val="24"/>
              </w:rPr>
              <w:t> robur,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Ulmus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laevis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големи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minoris)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168.29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80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</w:t>
            </w:r>
            <w:r>
              <w:rPr>
                <w:rFonts w:ascii="Garamond"/>
                <w:sz w:val="24"/>
              </w:rPr>
              <w:t>hermanni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45.04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3483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289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288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3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Шишманци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Раковски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Шишманци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h91F0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смесени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robur,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Ulmus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laevis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големи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minoris)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07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168.29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Раковски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314.225006pt;width:58.15pt;height:16.6pt;mso-position-horizontal-relative:page;mso-position-vertical-relative:page;z-index:-2283" coordorigin="7927,6285" coordsize="1163,332">
            <v:group style="position:absolute;left:7937;top:6295;width:569;height:312" coordorigin="7937,6295" coordsize="569,312">
              <v:shape style="position:absolute;left:7937;top:6295;width:569;height:312" coordorigin="7937,6295" coordsize="569,312" path="m7937,6606l8505,6606,8505,6295,7937,6295,7937,6606xe" filled="t" fillcolor="#FFFFFF" stroked="f">
                <v:path arrowok="t"/>
                <v:fill type="solid"/>
              </v:shape>
            </v:group>
            <v:group style="position:absolute;left:8499;top:6295;width:581;height:312" coordorigin="8499,6295" coordsize="581,312">
              <v:shape style="position:absolute;left:8499;top:6295;width:581;height:312" coordorigin="8499,6295" coordsize="581,312" path="m8499,6606l9079,6606,9079,6295,8499,6295,8499,660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00.255981pt;width:27.85pt;height:15pt;mso-position-horizontal-relative:page;mso-position-vertical-relative:page;z-index:-2282" coordorigin="10210,6005" coordsize="557,300">
            <v:shape style="position:absolute;left:10210;top:6005;width:557;height:300" coordorigin="10210,6005" coordsize="557,300" path="m10210,6304l10767,6304,10767,6005,10210,6005,10210,630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Шишманци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Шишманци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Шишманци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7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7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Шишманци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Шишманци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34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Шишманци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45.04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2265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BG0000291</w:t>
        <w:tab/>
      </w:r>
      <w:r>
        <w:rPr>
          <w:rFonts w:ascii="Garamond" w:hAnsi="Garamond"/>
          <w:color w:val="FFFFFF"/>
          <w:spacing w:val="-1"/>
          <w:sz w:val="30"/>
        </w:rPr>
        <w:t>Гора</w:t>
      </w:r>
      <w:r>
        <w:rPr>
          <w:rFonts w:ascii="Garamond" w:hAnsi="Garamond"/>
          <w:color w:val="FFFFFF"/>
          <w:spacing w:val="1"/>
          <w:sz w:val="30"/>
        </w:rPr>
        <w:t> </w:t>
      </w:r>
      <w:r>
        <w:rPr>
          <w:rFonts w:ascii="Garamond" w:hAnsi="Garamond"/>
          <w:color w:val="FFFFFF"/>
          <w:sz w:val="30"/>
        </w:rPr>
        <w:t>Шишманци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2264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2263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2262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99" w:right="55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51.68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219.97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436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0.92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45.04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616"/>
            <w:col w:w="1421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4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174.93</w:t>
      </w:r>
    </w:p>
    <w:p>
      <w:pPr>
        <w:pStyle w:val="BodyText"/>
        <w:tabs>
          <w:tab w:pos="10305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94pt;width:511.7pt;height:21.6pt;mso-position-horizontal-relative:page;mso-position-vertical-relative:paragraph;z-index:-2261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52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Подкрепа</w:t>
      </w:r>
      <w:r>
        <w:rPr>
          <w:spacing w:val="-14"/>
        </w:rPr>
        <w:t> </w:t>
      </w:r>
      <w:r>
        <w:rPr/>
        <w:t>за</w:t>
      </w:r>
      <w:r>
        <w:rPr>
          <w:spacing w:val="-13"/>
        </w:rPr>
        <w:t> </w:t>
      </w:r>
      <w:r>
        <w:rPr>
          <w:spacing w:val="-1"/>
        </w:rPr>
        <w:t>прилагане</w:t>
      </w:r>
      <w:r>
        <w:rPr>
          <w:spacing w:val="-14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агроекологични</w:t>
      </w:r>
      <w:r>
        <w:rPr>
          <w:spacing w:val="-14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0.92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41772pt;width:511.7pt;height:30.1pt;mso-position-horizontal-relative:page;mso-position-vertical-relative:paragraph;z-index:-2260" coordorigin="556,689" coordsize="10234,602">
            <v:group style="position:absolute;left:566;top:699;width:10214;height:582" coordorigin="566,699" coordsize="10214,582">
              <v:shape style="position:absolute;left:566;top:699;width:10214;height:582" coordorigin="566,699" coordsize="10214,582" path="m566,1281l10780,1281,10780,699,566,699,566,1281xe" filled="t" fillcolor="#F1F1F1" stroked="f">
                <v:path arrowok="t"/>
                <v:fill type="solid"/>
              </v:shape>
            </v:group>
            <v:group style="position:absolute;left:9077;top:701;width:1698;height:406" coordorigin="9077,701" coordsize="1698,406">
              <v:shape style="position:absolute;left:9077;top:701;width:1698;height:406" coordorigin="9077,701" coordsize="1698,406" path="m9077,1106l10774,1106,10774,701,9077,701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2.951805pt;width:511.7pt;height:30.1pt;mso-position-horizontal-relative:page;mso-position-vertical-relative:paragraph;z-index:-2259" coordorigin="556,859" coordsize="10234,602">
            <v:group style="position:absolute;left:566;top:869;width:10214;height:582" coordorigin="566,869" coordsize="10214,582">
              <v:shape style="position:absolute;left:566;top:869;width:10214;height:582" coordorigin="566,869" coordsize="10214,582" path="m566,1451l10780,1451,10780,869,566,869,566,1451xe" filled="t" fillcolor="#F1F1F1" stroked="f">
                <v:path arrowok="t"/>
                <v:fill type="solid"/>
              </v:shape>
            </v:group>
            <v:group style="position:absolute;left:9077;top:871;width:1698;height:406" coordorigin="9077,871" coordsize="1698,406">
              <v:shape style="position:absolute;left:9077;top:871;width:1698;height:406" coordorigin="9077,871" coordsize="1698,406" path="m9077,1276l10774,1276,10774,871,9077,871,9077,12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57801pt;width:511.7pt;height:30.15pt;mso-position-horizontal-relative:page;mso-position-vertical-relative:paragraph;z-index:-2258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79l10780,1179,10780,597,566,597,566,117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left="98" w:right="66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168.29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219.97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168.29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168.29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219.97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51.68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436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6.64</w:t>
      </w:r>
    </w:p>
    <w:sectPr>
      <w:type w:val="continuous"/>
      <w:pgSz w:w="11910" w:h="16840"/>
      <w:pgMar w:top="760" w:bottom="1800" w:left="460" w:right="460"/>
      <w:cols w:num="2" w:equalWidth="0">
        <w:col w:w="8308" w:space="1262"/>
        <w:col w:w="14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29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28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3483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28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28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3490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2013-12-29T09:26:12Z</dcterms:created>
  <dcterms:modified xsi:type="dcterms:W3CDTF">2013-12-29T09:26:12Z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