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1758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Ligularia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sibirica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50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5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5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Разлог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Благоевград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земи/гори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зони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4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5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00.534988pt;width:58.15pt;height:16.6pt;mso-position-horizontal-relative:page;mso-position-vertical-relative:page;z-index:-1656" coordorigin="7927,4011" coordsize="1163,332">
            <v:group style="position:absolute;left:7937;top:4021;width:569;height:312" coordorigin="7937,4021" coordsize="569,312">
              <v:shape style="position:absolute;left:7937;top:4021;width:569;height:312" coordorigin="7937,4021" coordsize="569,312" path="m7937,4332l8505,4332,8505,4021,7937,4021,7937,4332xe" filled="t" fillcolor="#FFFFFF" stroked="f">
                <v:path arrowok="t"/>
                <v:fill type="solid"/>
              </v:shape>
            </v:group>
            <v:group style="position:absolute;left:8499;top:4021;width:581;height:312" coordorigin="8499,4021" coordsize="581,312">
              <v:shape style="position:absolute;left:8499;top:4021;width:581;height:312" coordorigin="8499,4021" coordsize="581,312" path="m8499,4332l9079,4332,9079,4021,8499,4021,8499,43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6.585999pt;width:27.85pt;height:15pt;mso-position-horizontal-relative:page;mso-position-vertical-relative:page;z-index:-1655" coordorigin="10210,3732" coordsize="557,300">
            <v:shape style="position:absolute;left:10210;top:3732;width:557;height:300" coordorigin="10210,3732" coordsize="557,300" path="m10210,4031l10767,4031,10767,3732,10210,3732,10210,40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Изворо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Ligularia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sibirica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51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64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BG0000625</w:t>
        <w:tab/>
      </w:r>
      <w:r>
        <w:rPr>
          <w:rFonts w:ascii="Garamond" w:hAnsi="Garamond"/>
          <w:color w:val="FFFFFF"/>
          <w:spacing w:val="-1"/>
          <w:sz w:val="30"/>
        </w:rPr>
        <w:t>Изворо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64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492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.441768pt;width:511.7pt;height:30.1pt;mso-position-horizontal-relative:page;mso-position-vertical-relative:paragraph;z-index:-1642" coordorigin="556,9" coordsize="10234,602">
            <v:group style="position:absolute;left:566;top:19;width:10214;height:582" coordorigin="566,19" coordsize="10214,582">
              <v:shape style="position:absolute;left:566;top:19;width:10214;height:582" coordorigin="566,19" coordsize="10214,582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64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0.72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2.09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3"/>
        </w:rPr>
        <w:t> </w:t>
      </w:r>
      <w:r>
        <w:rPr/>
        <w:t>51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Управление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инвазивни</w:t>
      </w:r>
      <w:r>
        <w:rPr>
          <w:spacing w:val="-12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1.37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164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0.72</w:t>
      </w:r>
    </w:p>
    <w:p>
      <w:pPr>
        <w:pStyle w:val="BodyText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2pt;width:511.7pt;height:30.15pt;mso-position-horizontal-relative:page;mso-position-vertical-relative:paragraph;z-index:-163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163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8"/>
        </w:rPr>
        <w:t> </w:t>
      </w:r>
      <w:r>
        <w:rPr/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-1"/>
        </w:rPr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0.72</w:t>
      </w:r>
    </w:p>
    <w:p>
      <w:pPr>
        <w:pStyle w:val="BodyText"/>
        <w:spacing w:line="240" w:lineRule="auto" w:before="139"/>
        <w:ind w:right="2492"/>
        <w:jc w:val="left"/>
      </w:pPr>
      <w:r>
        <w:rPr/>
        <w:pict>
          <v:group style="position:absolute;margin-left:27.778999pt;margin-top:5.400784pt;width:511.7pt;height:43.6pt;mso-position-horizontal-relative:page;mso-position-vertical-relative:paragraph;z-index:-163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tabs>
          <w:tab w:pos="10305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5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6"/>
        </w:rPr>
        <w:t> </w:t>
      </w:r>
      <w:r>
        <w:rPr>
          <w:spacing w:val="-1"/>
        </w:rPr>
        <w:t>мониторинг</w:t>
      </w:r>
      <w:r>
        <w:rPr>
          <w:spacing w:val="-25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>
          <w:spacing w:val="-1"/>
        </w:rPr>
        <w:t>повърхностните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63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pt;width:511.7pt;height:30.15pt;mso-position-horizontal-relative:page;mso-position-vertical-relative:paragraph;z-index:-1635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1.37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1.37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1.37</w:t>
      </w:r>
    </w:p>
    <w:sectPr>
      <w:type w:val="continuous"/>
      <w:pgSz w:w="11910" w:h="16840"/>
      <w:pgMar w:top="760" w:bottom="1800" w:left="460" w:right="460"/>
      <w:cols w:num="2" w:equalWidth="0">
        <w:col w:w="8301" w:space="1495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6505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6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2013-12-29T11:20:59Z</dcterms:created>
  <dcterms:modified xsi:type="dcterms:W3CDTF">2013-12-29T11:20:59Z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