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7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BG0000526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Линево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1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2.60</w:t>
            </w:r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45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1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1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BG0000526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Линево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BG0000526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Линево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0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BG0000526</w:t>
        <w:tab/>
      </w:r>
      <w:r>
        <w:rPr>
          <w:rFonts w:ascii="Garamond" w:hAnsi="Garamond"/>
          <w:color w:val="FFFFFF"/>
          <w:sz w:val="30"/>
        </w:rPr>
        <w:t>Долно </w:t>
      </w:r>
      <w:r>
        <w:rPr>
          <w:rFonts w:ascii="Garamond" w:hAnsi="Garamond"/>
          <w:color w:val="FFFFFF"/>
          <w:spacing w:val="-1"/>
          <w:sz w:val="30"/>
        </w:rPr>
        <w:t>Линево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0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0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0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842"/>
            <w:col w:w="1195"/>
          </w:cols>
        </w:sectPr>
      </w:pPr>
    </w:p>
    <w:p>
      <w:pPr>
        <w:pStyle w:val="BodyText"/>
        <w:tabs>
          <w:tab w:pos="10305" w:val="righ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3"/>
        </w:rPr>
        <w:t> </w:t>
      </w:r>
      <w:r>
        <w:rPr/>
        <w:t>51</w:t>
      </w:r>
      <w:r>
        <w:rPr>
          <w:spacing w:val="-11"/>
        </w:rPr>
        <w:t> </w:t>
      </w:r>
      <w:r>
        <w:rPr/>
        <w:t>–</w:t>
      </w:r>
      <w:r>
        <w:rPr>
          <w:spacing w:val="-11"/>
        </w:rPr>
        <w:t> </w:t>
      </w:r>
      <w:r>
        <w:rPr>
          <w:spacing w:val="-1"/>
        </w:rPr>
        <w:t>Управление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инвазивни</w:t>
      </w:r>
      <w:r>
        <w:rPr>
          <w:spacing w:val="-12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2.60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60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right="2566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60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sectPr>
      <w:type w:val="continuous"/>
      <w:pgSz w:w="11910" w:h="16840"/>
      <w:pgMar w:top="76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5452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2013-12-29T10:32:20Z</dcterms:created>
  <dcterms:modified xsi:type="dcterms:W3CDTF">2013-12-29T10:32:20Z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