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AA" w:rsidRPr="000825AA" w:rsidRDefault="000825AA" w:rsidP="006D5094">
      <w:pPr>
        <w:rPr>
          <w:rFonts w:ascii="Arial" w:hAnsi="Arial"/>
          <w:b/>
          <w:sz w:val="24"/>
          <w:szCs w:val="24"/>
          <w:lang w:val="en-US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3"/>
        <w:gridCol w:w="5244"/>
      </w:tblGrid>
      <w:tr w:rsidR="00844C01" w:rsidRPr="0079084F" w:rsidTr="00C8612A">
        <w:tc>
          <w:tcPr>
            <w:tcW w:w="3544" w:type="dxa"/>
          </w:tcPr>
          <w:p w:rsidR="00844C01" w:rsidRPr="0079084F" w:rsidRDefault="00CF6CF8" w:rsidP="00844C01">
            <w:pPr>
              <w:numPr>
                <w:ilvl w:val="12"/>
                <w:numId w:val="0"/>
              </w:numPr>
              <w:rPr>
                <w:b/>
                <w:spacing w:val="10"/>
              </w:rPr>
            </w:pPr>
            <w:r w:rsidRPr="0079084F">
              <w:rPr>
                <w:b/>
                <w:spacing w:val="10"/>
                <w:lang w:val="bg-BG"/>
              </w:rPr>
              <w:t xml:space="preserve">Наименование на </w:t>
            </w:r>
            <w:r w:rsidR="00844C01" w:rsidRPr="0079084F">
              <w:rPr>
                <w:b/>
                <w:spacing w:val="10"/>
                <w:lang w:val="bg-BG"/>
              </w:rPr>
              <w:t>проектното предложение:</w:t>
            </w:r>
            <w:r w:rsidR="00844C01" w:rsidRPr="0079084F">
              <w:rPr>
                <w:b/>
                <w:i/>
                <w:spacing w:val="10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844C01" w:rsidRPr="0079084F" w:rsidRDefault="00844C01" w:rsidP="00A11EB2">
            <w:pPr>
              <w:numPr>
                <w:ilvl w:val="12"/>
                <w:numId w:val="0"/>
              </w:numPr>
              <w:rPr>
                <w:i/>
                <w:spacing w:val="10"/>
                <w:sz w:val="24"/>
                <w:szCs w:val="24"/>
                <w:lang w:val="bg-BG"/>
              </w:rPr>
            </w:pPr>
          </w:p>
        </w:tc>
      </w:tr>
      <w:tr w:rsidR="00F42925" w:rsidRPr="0079084F" w:rsidTr="00F17FD2">
        <w:trPr>
          <w:trHeight w:val="563"/>
        </w:trPr>
        <w:tc>
          <w:tcPr>
            <w:tcW w:w="3544" w:type="dxa"/>
            <w:vMerge w:val="restart"/>
          </w:tcPr>
          <w:p w:rsidR="00F42925" w:rsidRPr="0079084F" w:rsidRDefault="00F42925" w:rsidP="00844C01">
            <w:pPr>
              <w:numPr>
                <w:ilvl w:val="12"/>
                <w:numId w:val="0"/>
              </w:numPr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Номер и наименование на приоритетната ос (ПО)</w:t>
            </w:r>
          </w:p>
          <w:p w:rsidR="00F42925" w:rsidRPr="0079084F" w:rsidRDefault="00F42925" w:rsidP="00844C01">
            <w:pPr>
              <w:numPr>
                <w:ilvl w:val="12"/>
                <w:numId w:val="0"/>
              </w:numPr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по ОПТТИ:</w:t>
            </w:r>
          </w:p>
        </w:tc>
        <w:tc>
          <w:tcPr>
            <w:tcW w:w="993" w:type="dxa"/>
            <w:vAlign w:val="center"/>
          </w:tcPr>
          <w:p w:rsidR="00F42925" w:rsidRPr="0079084F" w:rsidRDefault="00CF6CF8" w:rsidP="00CF6CF8">
            <w:pPr>
              <w:numPr>
                <w:ilvl w:val="12"/>
                <w:numId w:val="0"/>
              </w:numPr>
              <w:jc w:val="center"/>
              <w:rPr>
                <w:i/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5244" w:type="dxa"/>
          </w:tcPr>
          <w:p w:rsidR="00F42925" w:rsidRPr="0079084F" w:rsidRDefault="00F42925" w:rsidP="00F42925">
            <w:pPr>
              <w:numPr>
                <w:ilvl w:val="12"/>
                <w:numId w:val="0"/>
              </w:numPr>
              <w:jc w:val="both"/>
              <w:rPr>
                <w:i/>
                <w:spacing w:val="10"/>
                <w:sz w:val="16"/>
                <w:szCs w:val="16"/>
                <w:lang w:val="bg-BG"/>
              </w:rPr>
            </w:pPr>
            <w:r w:rsidRPr="0079084F">
              <w:rPr>
                <w:i/>
                <w:spacing w:val="10"/>
                <w:sz w:val="16"/>
                <w:szCs w:val="16"/>
                <w:lang w:val="bg-BG"/>
              </w:rPr>
              <w:t>ПО 1 „Развитие на железопътната инфраструктура по „основната” Трансевропейска транспортна мрежа”</w:t>
            </w:r>
          </w:p>
        </w:tc>
      </w:tr>
      <w:tr w:rsidR="00F42925" w:rsidRPr="0079084F" w:rsidTr="00F17FD2">
        <w:trPr>
          <w:trHeight w:val="557"/>
        </w:trPr>
        <w:tc>
          <w:tcPr>
            <w:tcW w:w="3544" w:type="dxa"/>
            <w:vMerge/>
          </w:tcPr>
          <w:p w:rsidR="00F42925" w:rsidRPr="0079084F" w:rsidRDefault="00F42925" w:rsidP="00844C01">
            <w:pPr>
              <w:numPr>
                <w:ilvl w:val="12"/>
                <w:numId w:val="0"/>
              </w:numPr>
              <w:rPr>
                <w:b/>
                <w:spacing w:val="1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F42925" w:rsidRPr="0079084F" w:rsidRDefault="00CF6CF8" w:rsidP="00CF6CF8">
            <w:pPr>
              <w:numPr>
                <w:ilvl w:val="12"/>
                <w:numId w:val="0"/>
              </w:numPr>
              <w:jc w:val="center"/>
              <w:rPr>
                <w:i/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5244" w:type="dxa"/>
          </w:tcPr>
          <w:p w:rsidR="00F42925" w:rsidRPr="0079084F" w:rsidRDefault="00F42925" w:rsidP="00061D2A">
            <w:pPr>
              <w:numPr>
                <w:ilvl w:val="12"/>
                <w:numId w:val="0"/>
              </w:numPr>
              <w:jc w:val="both"/>
              <w:rPr>
                <w:i/>
                <w:spacing w:val="10"/>
                <w:sz w:val="16"/>
                <w:szCs w:val="16"/>
                <w:lang w:val="bg-BG"/>
              </w:rPr>
            </w:pPr>
            <w:r w:rsidRPr="0079084F">
              <w:rPr>
                <w:i/>
                <w:spacing w:val="10"/>
                <w:sz w:val="16"/>
                <w:szCs w:val="16"/>
                <w:lang w:val="bg-BG"/>
              </w:rPr>
              <w:t>ПО 2 „Развитие на пътната инфраструктура по „основната” и „разширената” Трансевропейска транспортна мрежа”</w:t>
            </w:r>
          </w:p>
        </w:tc>
      </w:tr>
      <w:tr w:rsidR="00F42925" w:rsidRPr="0079084F" w:rsidTr="00C8612A">
        <w:trPr>
          <w:trHeight w:val="560"/>
        </w:trPr>
        <w:tc>
          <w:tcPr>
            <w:tcW w:w="3544" w:type="dxa"/>
            <w:vMerge/>
          </w:tcPr>
          <w:p w:rsidR="00F42925" w:rsidRPr="0079084F" w:rsidRDefault="00F42925" w:rsidP="00844C01">
            <w:pPr>
              <w:numPr>
                <w:ilvl w:val="12"/>
                <w:numId w:val="0"/>
              </w:numPr>
              <w:rPr>
                <w:b/>
                <w:spacing w:val="1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F42925" w:rsidRPr="0079084F" w:rsidRDefault="00CF6CF8" w:rsidP="00CF6CF8">
            <w:pPr>
              <w:numPr>
                <w:ilvl w:val="12"/>
                <w:numId w:val="0"/>
              </w:numPr>
              <w:jc w:val="center"/>
              <w:rPr>
                <w:i/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5244" w:type="dxa"/>
          </w:tcPr>
          <w:p w:rsidR="00F42925" w:rsidRPr="0079084F" w:rsidRDefault="00F42925" w:rsidP="00F42925">
            <w:pPr>
              <w:numPr>
                <w:ilvl w:val="12"/>
                <w:numId w:val="0"/>
              </w:numPr>
              <w:jc w:val="both"/>
              <w:rPr>
                <w:i/>
                <w:spacing w:val="10"/>
                <w:sz w:val="16"/>
                <w:szCs w:val="16"/>
                <w:lang w:val="bg-BG"/>
              </w:rPr>
            </w:pPr>
            <w:r w:rsidRPr="0079084F">
              <w:rPr>
                <w:i/>
                <w:spacing w:val="10"/>
                <w:sz w:val="16"/>
                <w:szCs w:val="16"/>
                <w:lang w:val="bg-BG"/>
              </w:rPr>
              <w:t>ПО 3 „Подобряване на интермодалността при превоза на пътници и товари и развитие на устойчив градски транспорт”</w:t>
            </w:r>
          </w:p>
          <w:p w:rsidR="00F42925" w:rsidRPr="0079084F" w:rsidRDefault="00F42925" w:rsidP="00061D2A">
            <w:pPr>
              <w:numPr>
                <w:ilvl w:val="12"/>
                <w:numId w:val="0"/>
              </w:numPr>
              <w:jc w:val="both"/>
              <w:rPr>
                <w:i/>
                <w:spacing w:val="10"/>
                <w:sz w:val="16"/>
                <w:szCs w:val="16"/>
                <w:lang w:val="bg-BG"/>
              </w:rPr>
            </w:pPr>
          </w:p>
        </w:tc>
      </w:tr>
      <w:tr w:rsidR="00F42925" w:rsidRPr="0079084F" w:rsidTr="00F17FD2">
        <w:trPr>
          <w:trHeight w:val="541"/>
        </w:trPr>
        <w:tc>
          <w:tcPr>
            <w:tcW w:w="3544" w:type="dxa"/>
            <w:vMerge/>
          </w:tcPr>
          <w:p w:rsidR="00F42925" w:rsidRPr="0079084F" w:rsidRDefault="00F42925" w:rsidP="00844C01">
            <w:pPr>
              <w:numPr>
                <w:ilvl w:val="12"/>
                <w:numId w:val="0"/>
              </w:numPr>
              <w:rPr>
                <w:b/>
                <w:spacing w:val="1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F42925" w:rsidRPr="0079084F" w:rsidRDefault="00CF6CF8" w:rsidP="00CF6CF8">
            <w:pPr>
              <w:numPr>
                <w:ilvl w:val="12"/>
                <w:numId w:val="0"/>
              </w:numPr>
              <w:jc w:val="center"/>
              <w:rPr>
                <w:i/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5244" w:type="dxa"/>
          </w:tcPr>
          <w:p w:rsidR="00F42925" w:rsidRPr="0079084F" w:rsidRDefault="00F42925" w:rsidP="00061D2A">
            <w:pPr>
              <w:numPr>
                <w:ilvl w:val="12"/>
                <w:numId w:val="0"/>
              </w:numPr>
              <w:jc w:val="both"/>
              <w:rPr>
                <w:i/>
                <w:spacing w:val="10"/>
                <w:sz w:val="16"/>
                <w:szCs w:val="16"/>
                <w:lang w:val="bg-BG"/>
              </w:rPr>
            </w:pPr>
            <w:r w:rsidRPr="0079084F">
              <w:rPr>
                <w:i/>
                <w:spacing w:val="10"/>
                <w:sz w:val="16"/>
                <w:szCs w:val="16"/>
                <w:lang w:val="bg-BG"/>
              </w:rPr>
              <w:t>ПО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844C01" w:rsidRPr="0079084F" w:rsidTr="00C8612A">
        <w:tc>
          <w:tcPr>
            <w:tcW w:w="3544" w:type="dxa"/>
          </w:tcPr>
          <w:p w:rsidR="00844C01" w:rsidRPr="0079084F" w:rsidRDefault="007156CC" w:rsidP="00A60D89">
            <w:pPr>
              <w:numPr>
                <w:ilvl w:val="12"/>
                <w:numId w:val="0"/>
              </w:numPr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 xml:space="preserve">Наименование </w:t>
            </w:r>
            <w:r w:rsidR="00844C01" w:rsidRPr="0079084F">
              <w:rPr>
                <w:b/>
                <w:spacing w:val="10"/>
                <w:lang w:val="bg-BG"/>
              </w:rPr>
              <w:t xml:space="preserve">на </w:t>
            </w:r>
            <w:r w:rsidR="00851DFB" w:rsidRPr="0079084F">
              <w:rPr>
                <w:b/>
                <w:spacing w:val="10"/>
                <w:lang w:val="bg-BG"/>
              </w:rPr>
              <w:t>бенефициент</w:t>
            </w:r>
            <w:r w:rsidR="00844C01" w:rsidRPr="0079084F">
              <w:rPr>
                <w:b/>
                <w:spacing w:val="10"/>
                <w:lang w:val="bg-BG"/>
              </w:rPr>
              <w:t>а</w:t>
            </w:r>
            <w:r w:rsidR="00C63695" w:rsidRPr="0079084F">
              <w:rPr>
                <w:b/>
                <w:spacing w:val="10"/>
                <w:lang w:val="bg-BG"/>
              </w:rPr>
              <w:t xml:space="preserve"> по ОПТТИ</w:t>
            </w:r>
            <w:r w:rsidR="00844C01" w:rsidRPr="0079084F">
              <w:rPr>
                <w:b/>
                <w:spacing w:val="10"/>
              </w:rPr>
              <w:t>:</w:t>
            </w:r>
          </w:p>
        </w:tc>
        <w:tc>
          <w:tcPr>
            <w:tcW w:w="6237" w:type="dxa"/>
            <w:gridSpan w:val="2"/>
          </w:tcPr>
          <w:p w:rsidR="00844C01" w:rsidRPr="0079084F" w:rsidRDefault="00844C01" w:rsidP="00A11EB2">
            <w:pPr>
              <w:numPr>
                <w:ilvl w:val="12"/>
                <w:numId w:val="0"/>
              </w:numPr>
              <w:rPr>
                <w:i/>
                <w:spacing w:val="10"/>
                <w:sz w:val="24"/>
                <w:szCs w:val="24"/>
              </w:rPr>
            </w:pPr>
          </w:p>
        </w:tc>
      </w:tr>
    </w:tbl>
    <w:p w:rsidR="000D7BDE" w:rsidRPr="0079084F" w:rsidRDefault="000D7BDE" w:rsidP="000D7BDE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 w:rsidRPr="0079084F">
        <w:rPr>
          <w:lang w:val="bg-BG"/>
        </w:rPr>
        <w:t xml:space="preserve">Указания за използване на </w:t>
      </w:r>
      <w:r w:rsidR="002308AB" w:rsidRPr="0079084F">
        <w:rPr>
          <w:lang w:val="bg-BG"/>
        </w:rPr>
        <w:t>Оценителната таблица</w:t>
      </w:r>
      <w:r w:rsidRPr="0079084F">
        <w:rPr>
          <w:lang w:val="bg-BG"/>
        </w:rPr>
        <w:t>:</w:t>
      </w:r>
    </w:p>
    <w:p w:rsidR="000D7BDE" w:rsidRPr="0079084F" w:rsidRDefault="002308AB" w:rsidP="000D7BDE">
      <w:pPr>
        <w:widowControl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clear" w:pos="1080"/>
          <w:tab w:val="num" w:pos="540"/>
        </w:tabs>
        <w:autoSpaceDE w:val="0"/>
        <w:autoSpaceDN w:val="0"/>
        <w:adjustRightInd w:val="0"/>
        <w:ind w:left="540" w:right="142" w:hanging="540"/>
        <w:jc w:val="both"/>
        <w:rPr>
          <w:lang w:val="bg-BG"/>
        </w:rPr>
      </w:pPr>
      <w:r w:rsidRPr="0079084F">
        <w:rPr>
          <w:lang w:val="bg-BG"/>
        </w:rPr>
        <w:t>Полетата</w:t>
      </w:r>
      <w:r w:rsidR="000D7BDE" w:rsidRPr="0079084F">
        <w:rPr>
          <w:lang w:val="bg-BG"/>
        </w:rPr>
        <w:t xml:space="preserve"> </w:t>
      </w:r>
      <w:r w:rsidR="000D7BDE" w:rsidRPr="0079084F">
        <w:rPr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7BDE" w:rsidRPr="0079084F">
        <w:rPr>
          <w:lang w:val="bg-BG"/>
        </w:rPr>
        <w:instrText xml:space="preserve"> FORMCHECKBOX </w:instrText>
      </w:r>
      <w:r w:rsidR="00E44A70">
        <w:rPr>
          <w:lang w:val="bg-BG"/>
        </w:rPr>
      </w:r>
      <w:r w:rsidR="00E44A70">
        <w:rPr>
          <w:lang w:val="bg-BG"/>
        </w:rPr>
        <w:fldChar w:fldCharType="separate"/>
      </w:r>
      <w:r w:rsidR="000D7BDE" w:rsidRPr="0079084F">
        <w:rPr>
          <w:lang w:val="bg-BG"/>
        </w:rPr>
        <w:fldChar w:fldCharType="end"/>
      </w:r>
      <w:r w:rsidR="000D7BDE" w:rsidRPr="0079084F">
        <w:rPr>
          <w:lang w:val="bg-BG"/>
        </w:rPr>
        <w:t xml:space="preserve"> отбелязват </w:t>
      </w:r>
      <w:r w:rsidR="00546E56" w:rsidRPr="0079084F">
        <w:rPr>
          <w:lang w:val="bg-BG"/>
        </w:rPr>
        <w:t>задължителните места за оценка</w:t>
      </w:r>
      <w:r w:rsidR="000D7BDE" w:rsidRPr="0079084F">
        <w:rPr>
          <w:lang w:val="bg-BG"/>
        </w:rPr>
        <w:t xml:space="preserve">. </w:t>
      </w:r>
    </w:p>
    <w:p w:rsidR="000D7BDE" w:rsidRPr="0079084F" w:rsidRDefault="000D7BDE" w:rsidP="000D7BDE">
      <w:pPr>
        <w:widowControl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clear" w:pos="1080"/>
          <w:tab w:val="num" w:pos="540"/>
        </w:tabs>
        <w:autoSpaceDE w:val="0"/>
        <w:autoSpaceDN w:val="0"/>
        <w:adjustRightInd w:val="0"/>
        <w:ind w:left="540" w:right="142" w:hanging="540"/>
        <w:jc w:val="both"/>
        <w:rPr>
          <w:lang w:val="bg-BG"/>
        </w:rPr>
      </w:pPr>
      <w:r w:rsidRPr="0079084F">
        <w:rPr>
          <w:lang w:val="bg-BG"/>
        </w:rPr>
        <w:t>Лиц</w:t>
      </w:r>
      <w:r w:rsidR="00432BF7" w:rsidRPr="0079084F">
        <w:rPr>
          <w:lang w:val="bg-BG"/>
        </w:rPr>
        <w:t>ето</w:t>
      </w:r>
      <w:r w:rsidRPr="0079084F">
        <w:rPr>
          <w:lang w:val="bg-BG"/>
        </w:rPr>
        <w:t>, извършващ</w:t>
      </w:r>
      <w:r w:rsidR="00432BF7" w:rsidRPr="0079084F">
        <w:rPr>
          <w:lang w:val="bg-BG"/>
        </w:rPr>
        <w:t>о</w:t>
      </w:r>
      <w:r w:rsidRPr="0079084F">
        <w:rPr>
          <w:lang w:val="bg-BG"/>
        </w:rPr>
        <w:t xml:space="preserve"> </w:t>
      </w:r>
      <w:r w:rsidR="002308AB" w:rsidRPr="0079084F">
        <w:rPr>
          <w:lang w:val="bg-BG"/>
        </w:rPr>
        <w:t>оценката</w:t>
      </w:r>
      <w:r w:rsidR="00546E56" w:rsidRPr="0079084F">
        <w:rPr>
          <w:lang w:val="bg-BG"/>
        </w:rPr>
        <w:t>, следва да провери</w:t>
      </w:r>
      <w:r w:rsidRPr="0079084F">
        <w:rPr>
          <w:lang w:val="bg-BG"/>
        </w:rPr>
        <w:t xml:space="preserve"> всеки критерий поотделно</w:t>
      </w:r>
      <w:r w:rsidR="00432BF7" w:rsidRPr="0079084F">
        <w:rPr>
          <w:lang w:val="bg-BG"/>
        </w:rPr>
        <w:t xml:space="preserve"> и </w:t>
      </w:r>
      <w:r w:rsidR="00985B5C" w:rsidRPr="0079084F">
        <w:rPr>
          <w:lang w:val="bg-BG"/>
        </w:rPr>
        <w:t>из</w:t>
      </w:r>
      <w:r w:rsidR="00546E56" w:rsidRPr="0079084F">
        <w:rPr>
          <w:lang w:val="bg-BG"/>
        </w:rPr>
        <w:t>г</w:t>
      </w:r>
      <w:r w:rsidR="00985B5C" w:rsidRPr="0079084F">
        <w:rPr>
          <w:lang w:val="bg-BG"/>
        </w:rPr>
        <w:t>о</w:t>
      </w:r>
      <w:r w:rsidR="00546E56" w:rsidRPr="0079084F">
        <w:rPr>
          <w:lang w:val="bg-BG"/>
        </w:rPr>
        <w:t>т</w:t>
      </w:r>
      <w:r w:rsidR="00985B5C" w:rsidRPr="0079084F">
        <w:rPr>
          <w:lang w:val="bg-BG"/>
        </w:rPr>
        <w:t xml:space="preserve">вя </w:t>
      </w:r>
      <w:r w:rsidR="00432BF7" w:rsidRPr="0079084F">
        <w:rPr>
          <w:lang w:val="bg-BG"/>
        </w:rPr>
        <w:t>заключ</w:t>
      </w:r>
      <w:r w:rsidR="00985B5C" w:rsidRPr="0079084F">
        <w:rPr>
          <w:lang w:val="bg-BG"/>
        </w:rPr>
        <w:t>ение</w:t>
      </w:r>
      <w:r w:rsidRPr="0079084F">
        <w:rPr>
          <w:lang w:val="bg-BG"/>
        </w:rPr>
        <w:t xml:space="preserve">, като маркира с </w:t>
      </w:r>
      <w:r w:rsidRPr="0079084F">
        <w:rPr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9084F">
        <w:rPr>
          <w:lang w:val="bg-BG"/>
        </w:rPr>
        <w:instrText xml:space="preserve"> FORMCHECKBOX </w:instrText>
      </w:r>
      <w:r w:rsidR="00E44A70">
        <w:rPr>
          <w:lang w:val="bg-BG"/>
        </w:rPr>
      </w:r>
      <w:r w:rsidR="00E44A70">
        <w:rPr>
          <w:lang w:val="bg-BG"/>
        </w:rPr>
        <w:fldChar w:fldCharType="separate"/>
      </w:r>
      <w:r w:rsidRPr="0079084F">
        <w:rPr>
          <w:lang w:val="bg-BG"/>
        </w:rPr>
        <w:fldChar w:fldCharType="end"/>
      </w:r>
      <w:r w:rsidRPr="0079084F">
        <w:rPr>
          <w:lang w:val="bg-BG"/>
        </w:rPr>
        <w:t xml:space="preserve"> или </w:t>
      </w:r>
      <w:r w:rsidR="00C41306" w:rsidRPr="0079084F">
        <w:rPr>
          <w:lang w:val="bg-BG"/>
        </w:rPr>
        <w:sym w:font="Wingdings 2" w:char="F050"/>
      </w:r>
      <w:r w:rsidRPr="0079084F">
        <w:rPr>
          <w:lang w:val="bg-BG"/>
        </w:rPr>
        <w:t xml:space="preserve"> в колоната „ДА“</w:t>
      </w:r>
      <w:r w:rsidR="002308AB" w:rsidRPr="0079084F">
        <w:rPr>
          <w:lang w:val="bg-BG"/>
        </w:rPr>
        <w:t xml:space="preserve"> </w:t>
      </w:r>
      <w:r w:rsidRPr="0079084F">
        <w:rPr>
          <w:lang w:val="bg-BG"/>
        </w:rPr>
        <w:t xml:space="preserve">при изпълнение на критерия или </w:t>
      </w:r>
      <w:r w:rsidR="00432BF7" w:rsidRPr="0079084F">
        <w:rPr>
          <w:lang w:val="bg-BG"/>
        </w:rPr>
        <w:t xml:space="preserve">при неговото неизпълнение </w:t>
      </w:r>
      <w:r w:rsidRPr="0079084F">
        <w:rPr>
          <w:lang w:val="bg-BG"/>
        </w:rPr>
        <w:t>в колона „НЕ“</w:t>
      </w:r>
      <w:r w:rsidR="007473DF" w:rsidRPr="0079084F">
        <w:rPr>
          <w:lang w:val="bg-BG"/>
        </w:rPr>
        <w:t xml:space="preserve">, </w:t>
      </w:r>
      <w:r w:rsidRPr="0079084F">
        <w:rPr>
          <w:lang w:val="bg-BG"/>
        </w:rPr>
        <w:t>а където са предвидени ограничения на приложимостта на даден критерий, в колоната „Н/П“.</w:t>
      </w:r>
      <w:r w:rsidRPr="0079084F">
        <w:rPr>
          <w:lang w:val="bg-BG"/>
        </w:rPr>
        <w:tab/>
      </w:r>
    </w:p>
    <w:p w:rsidR="000D7BDE" w:rsidRPr="0079084F" w:rsidRDefault="00EA3427" w:rsidP="000D7BDE">
      <w:pPr>
        <w:widowControl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clear" w:pos="1080"/>
          <w:tab w:val="num" w:pos="540"/>
        </w:tabs>
        <w:autoSpaceDE w:val="0"/>
        <w:autoSpaceDN w:val="0"/>
        <w:adjustRightInd w:val="0"/>
        <w:ind w:left="540" w:right="142" w:hanging="540"/>
        <w:jc w:val="both"/>
        <w:rPr>
          <w:lang w:val="bg-BG"/>
        </w:rPr>
      </w:pPr>
      <w:r w:rsidRPr="0079084F">
        <w:rPr>
          <w:lang w:val="bg-BG"/>
        </w:rPr>
        <w:t xml:space="preserve">Отговорите се обосновават </w:t>
      </w:r>
      <w:r w:rsidR="00307003" w:rsidRPr="0079084F">
        <w:rPr>
          <w:lang w:val="bg-BG"/>
        </w:rPr>
        <w:t>в колона „Моля, пояснете“</w:t>
      </w:r>
      <w:r w:rsidR="000D7BDE" w:rsidRPr="0079084F">
        <w:rPr>
          <w:lang w:val="bg-BG"/>
        </w:rPr>
        <w:t xml:space="preserve"> на </w:t>
      </w:r>
      <w:r w:rsidR="00546E56" w:rsidRPr="0079084F">
        <w:rPr>
          <w:lang w:val="bg-BG"/>
        </w:rPr>
        <w:t>Оценителната таблица.</w:t>
      </w:r>
    </w:p>
    <w:p w:rsidR="000D7BDE" w:rsidRPr="0079084F" w:rsidRDefault="00546E56" w:rsidP="000D7BDE">
      <w:pPr>
        <w:widowControl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clear" w:pos="1080"/>
          <w:tab w:val="num" w:pos="540"/>
        </w:tabs>
        <w:autoSpaceDE w:val="0"/>
        <w:autoSpaceDN w:val="0"/>
        <w:adjustRightInd w:val="0"/>
        <w:ind w:left="540" w:right="142" w:hanging="540"/>
        <w:jc w:val="both"/>
        <w:rPr>
          <w:lang w:val="bg-BG"/>
        </w:rPr>
      </w:pPr>
      <w:r w:rsidRPr="0079084F">
        <w:rPr>
          <w:lang w:val="bg-BG"/>
        </w:rPr>
        <w:t>Оценителната таблица</w:t>
      </w:r>
      <w:r w:rsidR="000D7BDE" w:rsidRPr="0079084F">
        <w:rPr>
          <w:lang w:val="bg-BG"/>
        </w:rPr>
        <w:t xml:space="preserve"> трябва да бъд</w:t>
      </w:r>
      <w:r w:rsidRPr="0079084F">
        <w:rPr>
          <w:lang w:val="bg-BG"/>
        </w:rPr>
        <w:t>е</w:t>
      </w:r>
      <w:r w:rsidR="000D7BDE" w:rsidRPr="0079084F">
        <w:rPr>
          <w:lang w:val="bg-BG"/>
        </w:rPr>
        <w:t xml:space="preserve"> подписан</w:t>
      </w:r>
      <w:r w:rsidRPr="0079084F">
        <w:rPr>
          <w:lang w:val="bg-BG"/>
        </w:rPr>
        <w:t>а</w:t>
      </w:r>
      <w:r w:rsidR="000D7BDE" w:rsidRPr="0079084F">
        <w:rPr>
          <w:lang w:val="bg-BG"/>
        </w:rPr>
        <w:t xml:space="preserve"> от </w:t>
      </w:r>
      <w:r w:rsidR="000574F6" w:rsidRPr="0079084F">
        <w:rPr>
          <w:lang w:val="bg-BG"/>
        </w:rPr>
        <w:t>представител на бенефициента</w:t>
      </w:r>
      <w:r w:rsidR="000D7BDE" w:rsidRPr="0079084F">
        <w:rPr>
          <w:lang w:val="bg-BG"/>
        </w:rPr>
        <w:t>.</w:t>
      </w:r>
    </w:p>
    <w:p w:rsidR="00D3013A" w:rsidRPr="0079084F" w:rsidRDefault="00D3013A" w:rsidP="00D3013A">
      <w:pPr>
        <w:rPr>
          <w:spacing w:val="10"/>
          <w:sz w:val="24"/>
          <w:szCs w:val="24"/>
          <w:lang w:val="en-US"/>
        </w:rPr>
      </w:pPr>
    </w:p>
    <w:p w:rsidR="00D3013A" w:rsidRPr="0079084F" w:rsidRDefault="004D58D3" w:rsidP="00D3013A">
      <w:pPr>
        <w:jc w:val="both"/>
        <w:rPr>
          <w:spacing w:val="10"/>
          <w:sz w:val="24"/>
          <w:szCs w:val="24"/>
          <w:lang w:val="bg-BG"/>
        </w:rPr>
      </w:pPr>
      <w:r w:rsidRPr="0079084F">
        <w:rPr>
          <w:spacing w:val="10"/>
          <w:sz w:val="24"/>
          <w:szCs w:val="24"/>
          <w:lang w:val="bg-BG"/>
        </w:rPr>
        <w:t>В резултат на извършена</w:t>
      </w:r>
      <w:r w:rsidR="00D3013A" w:rsidRPr="0079084F">
        <w:rPr>
          <w:spacing w:val="10"/>
          <w:sz w:val="24"/>
          <w:szCs w:val="24"/>
          <w:lang w:val="bg-BG"/>
        </w:rPr>
        <w:t xml:space="preserve"> </w:t>
      </w:r>
      <w:r w:rsidRPr="0079084F">
        <w:rPr>
          <w:spacing w:val="10"/>
          <w:sz w:val="24"/>
          <w:szCs w:val="24"/>
          <w:lang w:val="bg-BG"/>
        </w:rPr>
        <w:t>само</w:t>
      </w:r>
      <w:r w:rsidR="00D3013A" w:rsidRPr="0079084F">
        <w:rPr>
          <w:spacing w:val="10"/>
          <w:sz w:val="24"/>
          <w:szCs w:val="24"/>
          <w:lang w:val="bg-BG"/>
        </w:rPr>
        <w:t>оценка на горепосоченото проектно предложение по критериите за административно съответствие,</w:t>
      </w:r>
      <w:r w:rsidR="00C41306" w:rsidRPr="0079084F">
        <w:rPr>
          <w:spacing w:val="10"/>
          <w:sz w:val="24"/>
          <w:szCs w:val="24"/>
          <w:lang w:val="bg-BG"/>
        </w:rPr>
        <w:t xml:space="preserve"> </w:t>
      </w:r>
      <w:r w:rsidR="00D3013A" w:rsidRPr="0079084F">
        <w:rPr>
          <w:spacing w:val="10"/>
          <w:sz w:val="24"/>
          <w:szCs w:val="24"/>
          <w:lang w:val="bg-BG"/>
        </w:rPr>
        <w:t>допустимост, техническа и финансова оценка и констатирах</w:t>
      </w:r>
      <w:r w:rsidRPr="0079084F">
        <w:rPr>
          <w:spacing w:val="10"/>
          <w:sz w:val="24"/>
          <w:szCs w:val="24"/>
          <w:lang w:val="bg-BG"/>
        </w:rPr>
        <w:t>ме следното</w:t>
      </w:r>
      <w:r w:rsidR="00D3013A" w:rsidRPr="0079084F">
        <w:rPr>
          <w:spacing w:val="10"/>
          <w:sz w:val="24"/>
          <w:szCs w:val="24"/>
          <w:lang w:val="bg-BG"/>
        </w:rPr>
        <w:t>:</w:t>
      </w:r>
    </w:p>
    <w:p w:rsidR="00363B68" w:rsidRPr="0079084F" w:rsidRDefault="001B3EB5" w:rsidP="00824B7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spacing w:before="240" w:after="240"/>
        <w:ind w:left="142" w:hanging="142"/>
        <w:jc w:val="both"/>
        <w:outlineLvl w:val="0"/>
        <w:rPr>
          <w:b/>
          <w:color w:val="000000"/>
          <w:spacing w:val="10"/>
          <w:sz w:val="24"/>
          <w:szCs w:val="24"/>
          <w:lang w:val="en-US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t>ПРОВЕРКА</w:t>
      </w:r>
      <w:r w:rsidR="00363B68" w:rsidRPr="0079084F">
        <w:rPr>
          <w:b/>
          <w:color w:val="000000"/>
          <w:spacing w:val="10"/>
          <w:sz w:val="24"/>
          <w:szCs w:val="24"/>
        </w:rPr>
        <w:t xml:space="preserve"> ЗА АДМИНИСТРАТИВНО СЪОТВЕТСТВИЕ </w:t>
      </w:r>
    </w:p>
    <w:p w:rsidR="00363B68" w:rsidRPr="0079084F" w:rsidRDefault="00A94EC3" w:rsidP="001B3EB5">
      <w:pPr>
        <w:keepNext/>
        <w:widowControl w:val="0"/>
        <w:shd w:val="clear" w:color="auto" w:fill="FFFFFF"/>
        <w:tabs>
          <w:tab w:val="left" w:pos="851"/>
        </w:tabs>
        <w:spacing w:after="120"/>
        <w:ind w:left="426"/>
        <w:jc w:val="both"/>
        <w:outlineLvl w:val="0"/>
        <w:rPr>
          <w:b/>
          <w:color w:val="000000"/>
          <w:sz w:val="24"/>
          <w:lang w:val="bg-BG"/>
        </w:rPr>
      </w:pPr>
      <w:r w:rsidRPr="0079084F">
        <w:rPr>
          <w:b/>
          <w:color w:val="000000"/>
          <w:sz w:val="24"/>
          <w:lang w:val="bg-BG"/>
        </w:rPr>
        <w:t xml:space="preserve">Проверката се извършва в съответствие със следните критерии </w:t>
      </w:r>
      <w:r w:rsidR="00F17FD2" w:rsidRPr="0079084F">
        <w:rPr>
          <w:b/>
          <w:color w:val="000000"/>
          <w:sz w:val="24"/>
          <w:lang w:val="bg-BG"/>
        </w:rPr>
        <w:t xml:space="preserve">за </w:t>
      </w:r>
      <w:r w:rsidRPr="0079084F">
        <w:rPr>
          <w:b/>
          <w:color w:val="000000"/>
          <w:sz w:val="24"/>
          <w:lang w:val="bg-BG"/>
        </w:rPr>
        <w:t>проверка</w:t>
      </w:r>
      <w:r w:rsidR="00F17FD2" w:rsidRPr="0079084F">
        <w:rPr>
          <w:b/>
          <w:color w:val="000000"/>
          <w:sz w:val="24"/>
          <w:lang w:val="bg-BG"/>
        </w:rPr>
        <w:t xml:space="preserve"> </w:t>
      </w:r>
      <w:r w:rsidR="00363B68" w:rsidRPr="0079084F">
        <w:rPr>
          <w:b/>
          <w:color w:val="000000"/>
          <w:sz w:val="24"/>
          <w:lang w:val="bg-BG"/>
        </w:rPr>
        <w:t>на административно съответствие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46351F" w:rsidRPr="0079084F" w:rsidTr="0046351F">
        <w:tc>
          <w:tcPr>
            <w:tcW w:w="9640" w:type="dxa"/>
            <w:gridSpan w:val="3"/>
            <w:shd w:val="clear" w:color="auto" w:fill="C6D9F1"/>
            <w:vAlign w:val="center"/>
          </w:tcPr>
          <w:p w:rsidR="0046351F" w:rsidRPr="0079084F" w:rsidRDefault="0046351F" w:rsidP="004D58D3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 w:hanging="284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Формулярът за кандидатстване </w:t>
            </w:r>
            <w:r w:rsidR="00C86A6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(ФК)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е </w:t>
            </w:r>
            <w:r w:rsidR="004D58D3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подготвен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по реда и начина съгласно Насоките за кандидатстване за финансиране на проекти по ОПТТИ:</w:t>
            </w:r>
          </w:p>
        </w:tc>
      </w:tr>
      <w:tr w:rsidR="0046351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46351F" w:rsidRPr="0079084F" w:rsidRDefault="0046351F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6351F" w:rsidRPr="0079084F" w:rsidRDefault="00EA3427" w:rsidP="00EA3427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</w:t>
            </w:r>
            <w:r w:rsidR="0046351F" w:rsidRPr="0079084F">
              <w:rPr>
                <w:spacing w:val="10"/>
                <w:lang w:val="bg-BG"/>
              </w:rPr>
              <w:t>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46351F" w:rsidRPr="0079084F" w:rsidTr="0046351F">
        <w:tc>
          <w:tcPr>
            <w:tcW w:w="99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93" w:type="dxa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640" w:type="dxa"/>
            <w:gridSpan w:val="3"/>
            <w:shd w:val="clear" w:color="auto" w:fill="C6D9F1"/>
            <w:vAlign w:val="center"/>
          </w:tcPr>
          <w:p w:rsidR="0046351F" w:rsidRPr="0079084F" w:rsidRDefault="0046351F" w:rsidP="007A1D01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 w:hanging="284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Използван е образеца на ФК, </w:t>
            </w:r>
            <w:r w:rsidR="00DB4F4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съгласно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E5244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Приложение ІІ на Регламент № (ЕС) </w:t>
            </w:r>
            <w:r w:rsidR="00E5244B" w:rsidRPr="0079084F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207/2015 г.</w:t>
            </w:r>
            <w:r w:rsidR="004D58D3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4D58D3" w:rsidRPr="0079084F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>(когато е приложимо</w:t>
            </w:r>
            <w:r w:rsidR="004D58D3" w:rsidRPr="0079084F">
              <w:rPr>
                <w:rStyle w:val="FootnoteReference"/>
                <w:rFonts w:ascii="Times New Roman" w:hAnsi="Times New Roman"/>
                <w:i/>
                <w:spacing w:val="10"/>
                <w:sz w:val="24"/>
                <w:szCs w:val="24"/>
              </w:rPr>
              <w:footnoteReference w:id="1"/>
            </w:r>
            <w:r w:rsidR="004D58D3" w:rsidRPr="0079084F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>)</w:t>
            </w:r>
            <w:r w:rsidR="003E5D2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,</w:t>
            </w:r>
            <w:r w:rsidR="00E5244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ИСУН 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="00E5244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 и</w:t>
            </w:r>
            <w:r w:rsidR="00D07D0A" w:rsidRPr="0079084F">
              <w:rPr>
                <w:rFonts w:ascii="Times New Roman" w:hAnsi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Насоките за кандидатстване по ОПТТИ:</w:t>
            </w:r>
          </w:p>
        </w:tc>
      </w:tr>
      <w:tr w:rsidR="0046351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46351F" w:rsidRPr="0079084F" w:rsidRDefault="0046351F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6351F" w:rsidRPr="0079084F" w:rsidRDefault="00EA3427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46351F" w:rsidRPr="0079084F" w:rsidTr="0046351F">
        <w:tc>
          <w:tcPr>
            <w:tcW w:w="99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93" w:type="dxa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640" w:type="dxa"/>
            <w:gridSpan w:val="3"/>
            <w:shd w:val="clear" w:color="auto" w:fill="C6D9F1"/>
            <w:vAlign w:val="center"/>
          </w:tcPr>
          <w:p w:rsidR="0046351F" w:rsidRPr="0079084F" w:rsidRDefault="007947D7" w:rsidP="007A1D01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Формулярът за кандидатстване е попълнен с цялата изискуема информация в съответствие с указанията за попълване в Насоките за кандидатстване по ОПТТИ</w:t>
            </w:r>
            <w:r w:rsidR="0046351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46351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46351F" w:rsidRPr="0079084F" w:rsidRDefault="0046351F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6351F" w:rsidRPr="0079084F" w:rsidRDefault="00EA3427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46351F" w:rsidRPr="0079084F" w:rsidTr="0046351F">
        <w:tc>
          <w:tcPr>
            <w:tcW w:w="99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93" w:type="dxa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640" w:type="dxa"/>
            <w:gridSpan w:val="3"/>
            <w:shd w:val="clear" w:color="auto" w:fill="C6D9F1"/>
            <w:vAlign w:val="center"/>
          </w:tcPr>
          <w:p w:rsidR="0046351F" w:rsidRPr="0079084F" w:rsidRDefault="007947D7" w:rsidP="00824B7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Формулярът за кандидатстване</w:t>
            </w:r>
            <w:r w:rsidR="00FB744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/Декларацията, с която е подаден ФК</w:t>
            </w:r>
            <w:r w:rsidR="006F047E" w:rsidRPr="0079084F">
              <w:rPr>
                <w:rStyle w:val="FootnoteReference"/>
                <w:rFonts w:ascii="Times New Roman" w:hAnsi="Times New Roman"/>
                <w:spacing w:val="10"/>
                <w:sz w:val="24"/>
                <w:szCs w:val="24"/>
              </w:rPr>
              <w:footnoteReference w:id="2"/>
            </w:r>
            <w:r w:rsidR="00FB744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е подписан</w:t>
            </w:r>
            <w:r w:rsidR="00FB744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/а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 </w:t>
            </w:r>
            <w:r w:rsidR="00851DF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а:</w:t>
            </w:r>
          </w:p>
        </w:tc>
      </w:tr>
      <w:tr w:rsidR="0046351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46351F" w:rsidRPr="0079084F" w:rsidRDefault="0046351F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6351F" w:rsidRPr="0079084F" w:rsidRDefault="00EA3427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46351F" w:rsidRPr="0079084F" w:rsidTr="0046351F">
        <w:tc>
          <w:tcPr>
            <w:tcW w:w="99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6351F" w:rsidRPr="0079084F" w:rsidTr="0046351F">
        <w:tc>
          <w:tcPr>
            <w:tcW w:w="993" w:type="dxa"/>
          </w:tcPr>
          <w:p w:rsidR="0046351F" w:rsidRPr="0079084F" w:rsidRDefault="0046351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6351F" w:rsidRPr="0079084F" w:rsidRDefault="0046351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46351F" w:rsidRPr="0079084F" w:rsidRDefault="0046351F" w:rsidP="00363B68">
      <w:pPr>
        <w:jc w:val="center"/>
        <w:rPr>
          <w:color w:val="808080"/>
          <w:lang w:val="bg-BG"/>
        </w:rPr>
      </w:pPr>
    </w:p>
    <w:p w:rsidR="00922852" w:rsidRPr="0079084F" w:rsidRDefault="00922852" w:rsidP="00C33F2A">
      <w:pPr>
        <w:tabs>
          <w:tab w:val="left" w:pos="0"/>
          <w:tab w:val="left" w:pos="1701"/>
        </w:tabs>
        <w:rPr>
          <w:b/>
          <w:spacing w:val="10"/>
          <w:sz w:val="24"/>
          <w:szCs w:val="24"/>
          <w:lang w:val="bg-BG"/>
        </w:rPr>
      </w:pPr>
      <w:r w:rsidRPr="0079084F">
        <w:rPr>
          <w:b/>
          <w:spacing w:val="10"/>
          <w:sz w:val="24"/>
          <w:szCs w:val="24"/>
          <w:lang w:val="bg-BG"/>
        </w:rPr>
        <w:t>Заключение: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3544"/>
      </w:tblGrid>
      <w:tr w:rsidR="00922852" w:rsidRPr="0079084F" w:rsidTr="006E088A">
        <w:trPr>
          <w:trHeight w:val="43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2852" w:rsidRPr="0079084F" w:rsidRDefault="00E53B06" w:rsidP="00974DB3">
            <w:pPr>
              <w:tabs>
                <w:tab w:val="left" w:pos="-284"/>
              </w:tabs>
              <w:spacing w:before="120" w:line="240" w:lineRule="exact"/>
              <w:ind w:left="-42"/>
              <w:jc w:val="both"/>
              <w:rPr>
                <w:spacing w:val="10"/>
                <w:sz w:val="24"/>
                <w:szCs w:val="24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 xml:space="preserve">Въз основа на извършената оценка по отношение на критериите за административно съответствие, </w:t>
            </w:r>
            <w:r w:rsidR="00974DB3" w:rsidRPr="0079084F">
              <w:rPr>
                <w:spacing w:val="10"/>
                <w:sz w:val="24"/>
                <w:szCs w:val="24"/>
                <w:lang w:val="bg-BG"/>
              </w:rPr>
              <w:t>определям</w:t>
            </w:r>
            <w:r w:rsidR="000574F6" w:rsidRPr="0079084F">
              <w:rPr>
                <w:spacing w:val="10"/>
                <w:sz w:val="24"/>
                <w:szCs w:val="24"/>
                <w:lang w:val="bg-BG"/>
              </w:rPr>
              <w:t>е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 xml:space="preserve">, че формулярът за кандидатстване отговаря на </w:t>
            </w:r>
            <w:r w:rsidRPr="0079084F">
              <w:rPr>
                <w:b/>
                <w:spacing w:val="10"/>
                <w:sz w:val="24"/>
                <w:szCs w:val="24"/>
                <w:lang w:val="bg-BG"/>
              </w:rPr>
              <w:t>всички административни критерии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>:</w:t>
            </w:r>
          </w:p>
        </w:tc>
      </w:tr>
      <w:tr w:rsidR="00922852" w:rsidRPr="0079084F" w:rsidTr="006E088A">
        <w:trPr>
          <w:trHeight w:val="4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EA3427" w:rsidP="006E088A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</w:tr>
      <w:tr w:rsidR="00922852" w:rsidRPr="0079084F" w:rsidTr="006E088A">
        <w:trPr>
          <w:trHeight w:val="43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>НЕ</w:t>
            </w:r>
          </w:p>
        </w:tc>
      </w:tr>
    </w:tbl>
    <w:p w:rsidR="00922852" w:rsidRPr="0079084F" w:rsidRDefault="00922852" w:rsidP="00922852">
      <w:pPr>
        <w:ind w:left="540"/>
        <w:jc w:val="both"/>
        <w:rPr>
          <w:b/>
          <w:spacing w:val="10"/>
          <w:sz w:val="24"/>
          <w:szCs w:val="24"/>
          <w:lang w:val="en-US"/>
        </w:rPr>
      </w:pPr>
    </w:p>
    <w:p w:rsidR="008B16B3" w:rsidRPr="0079084F" w:rsidRDefault="008B16B3" w:rsidP="008B16B3">
      <w:pPr>
        <w:jc w:val="both"/>
        <w:rPr>
          <w:i/>
          <w:spacing w:val="10"/>
          <w:lang w:val="bg-BG"/>
        </w:rPr>
      </w:pPr>
      <w:r w:rsidRPr="0079084F">
        <w:rPr>
          <w:i/>
          <w:spacing w:val="10"/>
          <w:lang w:val="bg-BG"/>
        </w:rPr>
        <w:t xml:space="preserve">В случай, че заключението от извършената оценка по критериите за административно съответствие е, че проектното предложение отговаря на всички административни критерии, се преминава към следващия етап на оценка на </w:t>
      </w:r>
      <w:r w:rsidR="000574F6" w:rsidRPr="0079084F">
        <w:rPr>
          <w:i/>
          <w:spacing w:val="10"/>
          <w:lang w:val="bg-BG"/>
        </w:rPr>
        <w:t>допустимостта. В противен случа</w:t>
      </w:r>
      <w:r w:rsidR="00D86C8B" w:rsidRPr="0079084F">
        <w:rPr>
          <w:i/>
          <w:spacing w:val="10"/>
          <w:lang w:val="bg-BG"/>
        </w:rPr>
        <w:t>й</w:t>
      </w:r>
      <w:r w:rsidRPr="0079084F">
        <w:rPr>
          <w:i/>
          <w:spacing w:val="10"/>
          <w:lang w:val="bg-BG"/>
        </w:rPr>
        <w:t xml:space="preserve"> проектното предложение не преминава към следващ етап на оценка на допустимостта</w:t>
      </w:r>
      <w:r w:rsidR="007A1D01" w:rsidRPr="0079084F">
        <w:rPr>
          <w:i/>
          <w:spacing w:val="10"/>
          <w:lang w:val="bg-BG"/>
        </w:rPr>
        <w:t xml:space="preserve"> и бенефициента следва да отстрани нередовностите по формуляра за </w:t>
      </w:r>
      <w:r w:rsidR="00A62419" w:rsidRPr="0079084F">
        <w:rPr>
          <w:i/>
          <w:spacing w:val="10"/>
          <w:lang w:val="bg-BG"/>
        </w:rPr>
        <w:t>кандидатстване</w:t>
      </w:r>
      <w:r w:rsidRPr="0079084F">
        <w:rPr>
          <w:i/>
          <w:spacing w:val="10"/>
          <w:lang w:val="bg-BG"/>
        </w:rPr>
        <w:t>.</w:t>
      </w:r>
    </w:p>
    <w:p w:rsidR="008B16B3" w:rsidRPr="0079084F" w:rsidRDefault="008B16B3" w:rsidP="008B16B3">
      <w:pPr>
        <w:jc w:val="both"/>
        <w:rPr>
          <w:spacing w:val="10"/>
          <w:sz w:val="24"/>
          <w:szCs w:val="24"/>
          <w:lang w:val="bg-BG"/>
        </w:rPr>
      </w:pPr>
    </w:p>
    <w:p w:rsidR="001B3EB5" w:rsidRPr="0079084F" w:rsidRDefault="001B3EB5" w:rsidP="001B3EB5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spacing w:before="240" w:after="240"/>
        <w:ind w:left="142" w:hanging="142"/>
        <w:jc w:val="both"/>
        <w:outlineLvl w:val="0"/>
        <w:rPr>
          <w:b/>
          <w:color w:val="000000"/>
          <w:spacing w:val="10"/>
          <w:sz w:val="24"/>
          <w:szCs w:val="24"/>
          <w:lang w:val="en-US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t>ПРОВЕРКА</w:t>
      </w:r>
      <w:r w:rsidRPr="0079084F">
        <w:rPr>
          <w:b/>
          <w:color w:val="000000"/>
          <w:spacing w:val="10"/>
          <w:sz w:val="24"/>
          <w:szCs w:val="24"/>
        </w:rPr>
        <w:t xml:space="preserve"> ЗА </w:t>
      </w:r>
      <w:r w:rsidRPr="0079084F">
        <w:rPr>
          <w:b/>
          <w:color w:val="000000"/>
          <w:sz w:val="24"/>
          <w:lang w:val="bg-BG"/>
        </w:rPr>
        <w:t>ДОПУСТИМОСТ</w:t>
      </w:r>
    </w:p>
    <w:p w:rsidR="00363B68" w:rsidRPr="0079084F" w:rsidRDefault="00A94EC3" w:rsidP="001B3EB5">
      <w:pPr>
        <w:keepNext/>
        <w:widowControl w:val="0"/>
        <w:shd w:val="clear" w:color="auto" w:fill="FFFFFF"/>
        <w:tabs>
          <w:tab w:val="left" w:pos="851"/>
        </w:tabs>
        <w:spacing w:after="120"/>
        <w:ind w:left="426"/>
        <w:jc w:val="both"/>
        <w:outlineLvl w:val="0"/>
        <w:rPr>
          <w:b/>
          <w:color w:val="000000"/>
          <w:sz w:val="24"/>
          <w:lang w:val="bg-BG"/>
        </w:rPr>
      </w:pPr>
      <w:r w:rsidRPr="0079084F">
        <w:rPr>
          <w:b/>
          <w:color w:val="000000"/>
          <w:sz w:val="24"/>
          <w:lang w:val="bg-BG"/>
        </w:rPr>
        <w:t xml:space="preserve">Проверката се извършва в съответствие със следните критерии за проверка </w:t>
      </w:r>
      <w:r w:rsidR="00363B68" w:rsidRPr="0079084F">
        <w:rPr>
          <w:b/>
          <w:color w:val="000000"/>
          <w:sz w:val="24"/>
          <w:lang w:val="bg-BG"/>
        </w:rPr>
        <w:t xml:space="preserve">на допустимостта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333ACF" w:rsidP="00824B7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460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Формулярът за кандидатстване е подаден от </w:t>
            </w:r>
            <w:r w:rsidR="00851DF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посочен в ОПТТИ като конкретен </w:t>
            </w:r>
            <w:r w:rsidR="00851DF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FC5A4F" w:rsidP="00824B7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Проектът </w:t>
            </w:r>
            <w:r w:rsidR="00333AC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попада в обхвата на финансиране на КФ/ ЕФРР: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1B63D0" w:rsidRPr="0079084F" w:rsidTr="00FB744F">
        <w:tc>
          <w:tcPr>
            <w:tcW w:w="9640" w:type="dxa"/>
            <w:gridSpan w:val="3"/>
            <w:shd w:val="clear" w:color="auto" w:fill="C6D9F1"/>
            <w:vAlign w:val="center"/>
          </w:tcPr>
          <w:p w:rsidR="001B63D0" w:rsidRPr="0079084F" w:rsidRDefault="001B63D0" w:rsidP="00FB744F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  <w:lang w:eastAsia="bg-BG"/>
              </w:rPr>
              <w:t>Проектът допринася за постигане на общата цел на ОПТТИ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1B63D0" w:rsidRPr="0079084F" w:rsidTr="00FB744F">
        <w:tc>
          <w:tcPr>
            <w:tcW w:w="993" w:type="dxa"/>
            <w:shd w:val="clear" w:color="auto" w:fill="DBE5F1" w:themeFill="accent1" w:themeFillTint="33"/>
            <w:vAlign w:val="center"/>
          </w:tcPr>
          <w:p w:rsidR="001B63D0" w:rsidRPr="0079084F" w:rsidRDefault="001B63D0" w:rsidP="00FB744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B63D0" w:rsidRPr="0079084F" w:rsidRDefault="00EA3427" w:rsidP="00FB744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1B63D0" w:rsidRPr="0079084F" w:rsidRDefault="001B63D0" w:rsidP="00FB744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1B63D0" w:rsidRPr="0079084F" w:rsidTr="00FB744F">
        <w:tc>
          <w:tcPr>
            <w:tcW w:w="993" w:type="dxa"/>
            <w:vAlign w:val="center"/>
          </w:tcPr>
          <w:p w:rsidR="001B63D0" w:rsidRPr="0079084F" w:rsidRDefault="001B63D0" w:rsidP="00FB744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1B63D0" w:rsidRPr="0079084F" w:rsidRDefault="001B63D0" w:rsidP="00FB744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1B63D0" w:rsidRPr="0079084F" w:rsidRDefault="001B63D0" w:rsidP="00FB744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1B63D0" w:rsidRPr="0079084F" w:rsidTr="00FB744F">
        <w:tc>
          <w:tcPr>
            <w:tcW w:w="993" w:type="dxa"/>
          </w:tcPr>
          <w:p w:rsidR="001B63D0" w:rsidRPr="0079084F" w:rsidRDefault="001B63D0" w:rsidP="00FB744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1B63D0" w:rsidRPr="0079084F" w:rsidRDefault="001B63D0" w:rsidP="00FB744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1B63D0" w:rsidRPr="0079084F" w:rsidRDefault="001B63D0" w:rsidP="00FB744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89672B" w:rsidRPr="0079084F" w:rsidTr="00791681">
        <w:tc>
          <w:tcPr>
            <w:tcW w:w="9640" w:type="dxa"/>
            <w:gridSpan w:val="3"/>
            <w:shd w:val="clear" w:color="auto" w:fill="C6D9F1"/>
            <w:vAlign w:val="center"/>
          </w:tcPr>
          <w:p w:rsidR="0089672B" w:rsidRPr="0079084F" w:rsidRDefault="0089672B" w:rsidP="002F3904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Проектът  допринася за постигане на </w:t>
            </w:r>
            <w:r w:rsidR="002F390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поне една от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специфичн</w:t>
            </w:r>
            <w:r w:rsidR="002F390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ите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цел</w:t>
            </w:r>
            <w:r w:rsidR="002F390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на съответната приоритетна ос:</w:t>
            </w:r>
          </w:p>
        </w:tc>
      </w:tr>
      <w:tr w:rsidR="0089672B" w:rsidRPr="0079084F" w:rsidTr="002F3904">
        <w:trPr>
          <w:trHeight w:val="745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89672B" w:rsidRPr="0079084F" w:rsidRDefault="0089672B" w:rsidP="00791681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89672B" w:rsidRPr="0079084F" w:rsidRDefault="00EA3427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89672B" w:rsidRPr="0079084F" w:rsidRDefault="0089672B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89672B" w:rsidRPr="0079084F" w:rsidTr="00791681">
        <w:tc>
          <w:tcPr>
            <w:tcW w:w="993" w:type="dxa"/>
            <w:vAlign w:val="center"/>
          </w:tcPr>
          <w:p w:rsidR="0089672B" w:rsidRPr="0079084F" w:rsidRDefault="0089672B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89672B" w:rsidRPr="0079084F" w:rsidRDefault="0089672B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89672B" w:rsidRPr="0079084F" w:rsidRDefault="0089672B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89672B" w:rsidRPr="0079084F" w:rsidTr="00791681">
        <w:tc>
          <w:tcPr>
            <w:tcW w:w="993" w:type="dxa"/>
          </w:tcPr>
          <w:p w:rsidR="0089672B" w:rsidRPr="0079084F" w:rsidRDefault="0089672B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89672B" w:rsidRPr="0079084F" w:rsidRDefault="0089672B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89672B" w:rsidRPr="0079084F" w:rsidRDefault="0089672B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89672B" w:rsidP="0086744D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Проектът</w:t>
            </w:r>
            <w:r w:rsidR="00824B7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допринася за постигане на поне един от избраните инвестиционни приоритети в ОПТТИ</w:t>
            </w:r>
            <w:r w:rsidR="006F1E2F" w:rsidRPr="0079084F">
              <w:rPr>
                <w:rFonts w:ascii="Times New Roman" w:hAnsi="Times New Roman"/>
                <w:spacing w:val="10"/>
                <w:sz w:val="24"/>
                <w:szCs w:val="24"/>
                <w:vertAlign w:val="superscript"/>
              </w:rPr>
              <w:footnoteReference w:id="3"/>
            </w:r>
            <w:r w:rsidR="002821C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FB6947" w:rsidP="00FB6947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Проектното предложение съответства на видовете транспорт, включени за финансиране в ОПТТИ 2014-2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 г.</w:t>
            </w:r>
            <w:r w:rsidR="002821C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FB6947" w:rsidP="00FB6947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Информацията във ФК показва, че всички дейности по проекта не са физически приключили и не са изцяло изпълнени преди подаване на ФК</w:t>
            </w:r>
            <w:r w:rsidR="002821C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 xml:space="preserve">Поставете </w:t>
            </w:r>
            <w:r w:rsidRPr="0079084F">
              <w:rPr>
                <w:spacing w:val="10"/>
                <w:lang w:val="bg-BG"/>
              </w:rPr>
              <w:lastRenderedPageBreak/>
              <w:t>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FB6947" w:rsidP="00FB6947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Информацията, свързана с описанието на местоположението на инвестицията доказва, че проектът отговаря на изискванията за допустимост за финансиране във връзка с мястото на изпълнение или района на проекта</w:t>
            </w:r>
            <w:r w:rsidR="00907666" w:rsidRPr="0079084F">
              <w:rPr>
                <w:rStyle w:val="FootnoteReference"/>
                <w:rFonts w:ascii="Times New Roman" w:hAnsi="Times New Roman"/>
                <w:spacing w:val="10"/>
                <w:sz w:val="24"/>
                <w:szCs w:val="24"/>
              </w:rPr>
              <w:footnoteReference w:id="4"/>
            </w:r>
            <w:r w:rsidR="002821C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640" w:type="dxa"/>
            <w:gridSpan w:val="3"/>
            <w:shd w:val="clear" w:color="auto" w:fill="C6D9F1"/>
            <w:vAlign w:val="center"/>
          </w:tcPr>
          <w:p w:rsidR="00333ACF" w:rsidRPr="0079084F" w:rsidRDefault="00FB6947" w:rsidP="00FB6947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Планираният времеви график за изпълнение на проекта попада в периода на допустимост на разходите за финансиране от КФ/ ЕФРР между 1 януари 2014 г. и 31 декември 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3 г.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  <w:vertAlign w:val="superscript"/>
              </w:rPr>
              <w:footnoteReference w:id="5"/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333ACF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33ACF" w:rsidRPr="0079084F" w:rsidRDefault="00333ACF" w:rsidP="004F3FF2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33ACF" w:rsidRPr="0079084F" w:rsidRDefault="00EA3427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33ACF" w:rsidRPr="0079084F" w:rsidTr="004F3FF2">
        <w:tc>
          <w:tcPr>
            <w:tcW w:w="99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33ACF" w:rsidRPr="0079084F" w:rsidTr="004F3FF2">
        <w:tc>
          <w:tcPr>
            <w:tcW w:w="993" w:type="dxa"/>
          </w:tcPr>
          <w:p w:rsidR="00333ACF" w:rsidRPr="0079084F" w:rsidRDefault="00333ACF" w:rsidP="004F3FF2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33ACF" w:rsidRPr="0079084F" w:rsidRDefault="00333ACF" w:rsidP="004F3FF2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07D0A" w:rsidRPr="0079084F" w:rsidTr="00D07D0A">
        <w:tc>
          <w:tcPr>
            <w:tcW w:w="9640" w:type="dxa"/>
            <w:gridSpan w:val="3"/>
            <w:shd w:val="clear" w:color="auto" w:fill="C6D9F1"/>
            <w:vAlign w:val="center"/>
          </w:tcPr>
          <w:p w:rsidR="00D07D0A" w:rsidRPr="0079084F" w:rsidRDefault="00D07D0A" w:rsidP="00D07D0A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Дейностите за подпомагане на управлението и изпълнението на проекта са в съответствие с действащата нормативна уредба</w:t>
            </w:r>
            <w:r w:rsidRPr="0079084F">
              <w:rPr>
                <w:rStyle w:val="FootnoteReference"/>
                <w:rFonts w:ascii="Times New Roman" w:hAnsi="Times New Roman"/>
                <w:spacing w:val="10"/>
                <w:sz w:val="24"/>
                <w:szCs w:val="24"/>
              </w:rPr>
              <w:footnoteReference w:id="6"/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79084F">
              <w:rPr>
                <w:rFonts w:ascii="Times New Roman" w:hAnsi="Times New Roman"/>
                <w:i/>
                <w:spacing w:val="10"/>
                <w:sz w:val="24"/>
                <w:szCs w:val="24"/>
              </w:rPr>
              <w:t>(когато е приложимо)</w:t>
            </w:r>
            <w:r w:rsidRPr="0079084F">
              <w:rPr>
                <w:rFonts w:ascii="Times New Roman" w:eastAsia="TimesNewRoman" w:hAnsi="Times New Roman"/>
                <w:spacing w:val="10"/>
                <w:sz w:val="24"/>
                <w:szCs w:val="24"/>
                <w:lang w:eastAsia="bg-BG"/>
              </w:rPr>
              <w:t>:</w:t>
            </w:r>
          </w:p>
        </w:tc>
      </w:tr>
      <w:tr w:rsidR="00D07D0A" w:rsidRPr="0079084F" w:rsidTr="00D07D0A">
        <w:tc>
          <w:tcPr>
            <w:tcW w:w="993" w:type="dxa"/>
            <w:shd w:val="clear" w:color="auto" w:fill="DBE5F1" w:themeFill="accent1" w:themeFillTint="33"/>
            <w:vAlign w:val="center"/>
          </w:tcPr>
          <w:p w:rsidR="00D07D0A" w:rsidRPr="0079084F" w:rsidRDefault="00D07D0A" w:rsidP="00D07D0A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07D0A" w:rsidRPr="0079084F" w:rsidRDefault="00D07D0A" w:rsidP="00D07D0A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D07D0A" w:rsidRPr="0079084F" w:rsidRDefault="00D07D0A" w:rsidP="00D07D0A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D07D0A" w:rsidRPr="0079084F" w:rsidTr="00D07D0A">
        <w:tc>
          <w:tcPr>
            <w:tcW w:w="993" w:type="dxa"/>
            <w:vAlign w:val="center"/>
          </w:tcPr>
          <w:p w:rsidR="00D07D0A" w:rsidRPr="0079084F" w:rsidRDefault="00D07D0A" w:rsidP="00D07D0A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D07D0A" w:rsidRPr="0079084F" w:rsidRDefault="00D07D0A" w:rsidP="00D07D0A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D07D0A" w:rsidRPr="0079084F" w:rsidRDefault="00D07D0A" w:rsidP="00D07D0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07D0A" w:rsidRPr="0079084F" w:rsidTr="00D07D0A">
        <w:tc>
          <w:tcPr>
            <w:tcW w:w="993" w:type="dxa"/>
          </w:tcPr>
          <w:p w:rsidR="00D07D0A" w:rsidRPr="0079084F" w:rsidRDefault="00D07D0A" w:rsidP="00D07D0A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D07D0A" w:rsidRPr="0079084F" w:rsidRDefault="00D07D0A" w:rsidP="00D07D0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D07D0A" w:rsidRPr="0079084F" w:rsidRDefault="00D07D0A" w:rsidP="00D07D0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07D0A" w:rsidRPr="0079084F" w:rsidTr="00D07D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A" w:rsidRPr="0079084F" w:rsidRDefault="00D07D0A" w:rsidP="00D07D0A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0A" w:rsidRPr="0079084F" w:rsidRDefault="00D07D0A" w:rsidP="00D07D0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A" w:rsidRPr="0079084F" w:rsidRDefault="00D07D0A" w:rsidP="00D07D0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741555" w:rsidRPr="0079084F" w:rsidTr="006E088A">
        <w:tc>
          <w:tcPr>
            <w:tcW w:w="9640" w:type="dxa"/>
            <w:gridSpan w:val="3"/>
            <w:shd w:val="clear" w:color="auto" w:fill="C6D9F1"/>
            <w:vAlign w:val="center"/>
          </w:tcPr>
          <w:p w:rsidR="00741555" w:rsidRPr="0079084F" w:rsidRDefault="00851DFB" w:rsidP="0015193A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Бенефициент</w:t>
            </w:r>
            <w:r w:rsidR="00741555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а е декларирал, че дейностите, финансирани по </w:t>
            </w:r>
            <w:r w:rsidR="00163A6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проекта</w:t>
            </w:r>
            <w:r w:rsidR="00741555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, не се финансират/не са фина</w:t>
            </w:r>
            <w:r w:rsidR="00163A6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нсирани от друг проект/програма</w:t>
            </w:r>
            <w:r w:rsidR="00741555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или друга финансова схема с източник националния бюджет, бюджета на ЕС или друга донорска програма:</w:t>
            </w:r>
          </w:p>
        </w:tc>
      </w:tr>
      <w:tr w:rsidR="00741555" w:rsidRPr="0079084F" w:rsidTr="006E088A">
        <w:tc>
          <w:tcPr>
            <w:tcW w:w="993" w:type="dxa"/>
            <w:shd w:val="clear" w:color="auto" w:fill="DBE5F1" w:themeFill="accent1" w:themeFillTint="33"/>
            <w:vAlign w:val="center"/>
          </w:tcPr>
          <w:p w:rsidR="00741555" w:rsidRPr="0079084F" w:rsidRDefault="00741555" w:rsidP="006E088A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741555" w:rsidRPr="0079084F" w:rsidRDefault="00EA3427" w:rsidP="006E088A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741555" w:rsidRPr="0079084F" w:rsidRDefault="00741555" w:rsidP="006E088A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741555" w:rsidRPr="0079084F" w:rsidTr="006E088A">
        <w:tc>
          <w:tcPr>
            <w:tcW w:w="993" w:type="dxa"/>
            <w:vAlign w:val="center"/>
          </w:tcPr>
          <w:p w:rsidR="00741555" w:rsidRPr="0079084F" w:rsidRDefault="00741555" w:rsidP="006E088A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741555" w:rsidRPr="0079084F" w:rsidRDefault="00741555" w:rsidP="006E088A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741555" w:rsidRPr="0079084F" w:rsidRDefault="00741555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741555" w:rsidRPr="0079084F" w:rsidTr="006E088A">
        <w:tc>
          <w:tcPr>
            <w:tcW w:w="993" w:type="dxa"/>
          </w:tcPr>
          <w:p w:rsidR="00741555" w:rsidRPr="0079084F" w:rsidRDefault="00741555" w:rsidP="006E088A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741555" w:rsidRPr="0079084F" w:rsidRDefault="00741555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741555" w:rsidRPr="0079084F" w:rsidRDefault="00741555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33ACF" w:rsidRPr="0079084F" w:rsidRDefault="00333ACF" w:rsidP="00363B68">
      <w:pPr>
        <w:ind w:left="540"/>
        <w:jc w:val="both"/>
        <w:rPr>
          <w:b/>
          <w:spacing w:val="10"/>
          <w:sz w:val="24"/>
          <w:szCs w:val="24"/>
          <w:lang w:val="ru-RU"/>
        </w:rPr>
      </w:pPr>
    </w:p>
    <w:p w:rsidR="00922852" w:rsidRPr="0079084F" w:rsidRDefault="00922852" w:rsidP="00922852">
      <w:pPr>
        <w:tabs>
          <w:tab w:val="left" w:pos="142"/>
          <w:tab w:val="left" w:pos="1701"/>
        </w:tabs>
        <w:rPr>
          <w:b/>
          <w:spacing w:val="10"/>
          <w:sz w:val="24"/>
          <w:szCs w:val="24"/>
          <w:lang w:val="bg-BG"/>
        </w:rPr>
      </w:pPr>
      <w:r w:rsidRPr="0079084F">
        <w:rPr>
          <w:b/>
          <w:spacing w:val="10"/>
          <w:sz w:val="24"/>
          <w:szCs w:val="24"/>
          <w:lang w:val="bg-BG"/>
        </w:rPr>
        <w:t>Заключение: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3544"/>
      </w:tblGrid>
      <w:tr w:rsidR="00922852" w:rsidRPr="0079084F" w:rsidTr="006E088A">
        <w:trPr>
          <w:trHeight w:val="436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2852" w:rsidRPr="0079084F" w:rsidRDefault="000A55C8" w:rsidP="003D22BE">
            <w:pPr>
              <w:tabs>
                <w:tab w:val="left" w:pos="-284"/>
              </w:tabs>
              <w:spacing w:before="120" w:line="240" w:lineRule="exact"/>
              <w:ind w:left="-42"/>
              <w:jc w:val="both"/>
              <w:rPr>
                <w:spacing w:val="10"/>
                <w:sz w:val="24"/>
                <w:szCs w:val="24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 xml:space="preserve">Въз основа на извършената оценка по отношение на критериите за </w:t>
            </w:r>
            <w:r w:rsidR="00981218" w:rsidRPr="0079084F">
              <w:rPr>
                <w:spacing w:val="10"/>
                <w:sz w:val="24"/>
                <w:szCs w:val="24"/>
                <w:lang w:val="bg-BG"/>
              </w:rPr>
              <w:t>допустимост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>, определя</w:t>
            </w:r>
            <w:r w:rsidR="003D22BE" w:rsidRPr="0079084F">
              <w:rPr>
                <w:spacing w:val="10"/>
                <w:sz w:val="24"/>
                <w:szCs w:val="24"/>
                <w:lang w:val="bg-BG"/>
              </w:rPr>
              <w:t>м</w:t>
            </w:r>
            <w:r w:rsidR="000574F6" w:rsidRPr="0079084F">
              <w:rPr>
                <w:spacing w:val="10"/>
                <w:sz w:val="24"/>
                <w:szCs w:val="24"/>
                <w:lang w:val="bg-BG"/>
              </w:rPr>
              <w:t>е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 xml:space="preserve">, че </w:t>
            </w:r>
            <w:r w:rsidR="00981218" w:rsidRPr="0079084F">
              <w:rPr>
                <w:spacing w:val="10"/>
                <w:sz w:val="24"/>
                <w:szCs w:val="24"/>
                <w:lang w:val="bg-BG"/>
              </w:rPr>
              <w:t>проектното предложение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 xml:space="preserve"> отговаря на</w:t>
            </w:r>
            <w:r w:rsidR="00981218" w:rsidRPr="0079084F">
              <w:rPr>
                <w:spacing w:val="10"/>
                <w:sz w:val="24"/>
                <w:szCs w:val="24"/>
                <w:lang w:val="bg-BG"/>
              </w:rPr>
              <w:t xml:space="preserve"> всички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 xml:space="preserve"> </w:t>
            </w:r>
            <w:r w:rsidR="00922852" w:rsidRPr="0079084F">
              <w:rPr>
                <w:spacing w:val="10"/>
                <w:sz w:val="24"/>
                <w:szCs w:val="24"/>
              </w:rPr>
              <w:t>критерии</w:t>
            </w:r>
            <w:r w:rsidR="00002369" w:rsidRPr="0079084F">
              <w:rPr>
                <w:spacing w:val="10"/>
                <w:sz w:val="24"/>
                <w:szCs w:val="24"/>
                <w:lang w:val="bg-BG"/>
              </w:rPr>
              <w:t xml:space="preserve"> за допустимост</w:t>
            </w:r>
            <w:r w:rsidR="00922852" w:rsidRPr="0079084F">
              <w:rPr>
                <w:spacing w:val="10"/>
                <w:sz w:val="24"/>
                <w:szCs w:val="24"/>
              </w:rPr>
              <w:t>:</w:t>
            </w:r>
          </w:p>
        </w:tc>
      </w:tr>
      <w:tr w:rsidR="00922852" w:rsidRPr="0079084F" w:rsidTr="006E088A">
        <w:trPr>
          <w:trHeight w:val="43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EA3427" w:rsidP="006E088A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</w:tr>
      <w:tr w:rsidR="00922852" w:rsidRPr="0079084F" w:rsidTr="006E088A">
        <w:trPr>
          <w:trHeight w:val="436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52" w:rsidRPr="0079084F" w:rsidRDefault="00922852" w:rsidP="006E088A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>НЕ</w:t>
            </w:r>
          </w:p>
        </w:tc>
      </w:tr>
    </w:tbl>
    <w:p w:rsidR="003D42C2" w:rsidRPr="0079084F" w:rsidRDefault="003D42C2" w:rsidP="003D42C2">
      <w:pPr>
        <w:jc w:val="both"/>
        <w:rPr>
          <w:i/>
          <w:spacing w:val="10"/>
          <w:lang w:val="bg-BG"/>
        </w:rPr>
      </w:pPr>
    </w:p>
    <w:p w:rsidR="003D42C2" w:rsidRPr="0079084F" w:rsidRDefault="003D42C2" w:rsidP="003D42C2">
      <w:pPr>
        <w:jc w:val="both"/>
        <w:rPr>
          <w:i/>
          <w:spacing w:val="10"/>
          <w:lang w:val="bg-BG"/>
        </w:rPr>
      </w:pPr>
      <w:r w:rsidRPr="0079084F">
        <w:rPr>
          <w:i/>
          <w:spacing w:val="10"/>
          <w:lang w:val="bg-BG"/>
        </w:rPr>
        <w:t xml:space="preserve">В случай, че заключението от извършената оценка по критериите за </w:t>
      </w:r>
      <w:r w:rsidR="00B46809" w:rsidRPr="0079084F">
        <w:rPr>
          <w:i/>
          <w:spacing w:val="10"/>
          <w:lang w:val="bg-BG"/>
        </w:rPr>
        <w:t>допустимост</w:t>
      </w:r>
      <w:r w:rsidRPr="0079084F">
        <w:rPr>
          <w:i/>
          <w:spacing w:val="10"/>
          <w:lang w:val="bg-BG"/>
        </w:rPr>
        <w:t xml:space="preserve"> е, че проектното предложение отговаря на всички критерии за допустимост, се преминава към следващия етап на техническа и финансова оценка. </w:t>
      </w:r>
      <w:r w:rsidR="000574F6" w:rsidRPr="0079084F">
        <w:rPr>
          <w:i/>
          <w:spacing w:val="10"/>
          <w:lang w:val="bg-BG"/>
        </w:rPr>
        <w:t>В противен случа проектното предложение не преминава към следващ етап на техническа и финансова оценка и бенефициента следва да отстрани нередовностите по формуляра за кандидатстване.</w:t>
      </w:r>
    </w:p>
    <w:p w:rsidR="00363B68" w:rsidRPr="0079084F" w:rsidRDefault="00363B68" w:rsidP="00824B7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spacing w:before="240" w:after="240"/>
        <w:ind w:left="142" w:hanging="142"/>
        <w:jc w:val="both"/>
        <w:outlineLvl w:val="0"/>
        <w:rPr>
          <w:b/>
          <w:color w:val="000000"/>
          <w:spacing w:val="10"/>
          <w:sz w:val="24"/>
          <w:szCs w:val="24"/>
          <w:lang w:val="en-US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t>ТЕХНИЧЕСКА И ФИНАНСОВА ОЦЕНКА</w:t>
      </w:r>
    </w:p>
    <w:p w:rsidR="00363B68" w:rsidRPr="0079084F" w:rsidRDefault="00363B68" w:rsidP="000B6533">
      <w:pPr>
        <w:ind w:firstLine="851"/>
        <w:jc w:val="both"/>
        <w:rPr>
          <w:rFonts w:eastAsia="EUAlbertina-Regu-Identity-H"/>
          <w:sz w:val="24"/>
          <w:szCs w:val="24"/>
          <w:lang w:val="bg-BG" w:eastAsia="bg-BG"/>
        </w:rPr>
      </w:pPr>
      <w:r w:rsidRPr="0079084F">
        <w:rPr>
          <w:rFonts w:eastAsia="EUAlbertina-Regu-Identity-H"/>
          <w:sz w:val="24"/>
          <w:szCs w:val="24"/>
          <w:lang w:val="bg-BG" w:eastAsia="bg-BG"/>
        </w:rPr>
        <w:t xml:space="preserve">Техническа и финансова оценка на „голям“ проект се прави в съответствие с всички критерии, установени в </w:t>
      </w:r>
      <w:r w:rsidR="00DF322B" w:rsidRPr="0079084F">
        <w:rPr>
          <w:rFonts w:eastAsia="EUAlbertina-Regu-Identity-H"/>
          <w:sz w:val="24"/>
          <w:szCs w:val="24"/>
          <w:lang w:val="bg-BG" w:eastAsia="bg-BG"/>
        </w:rPr>
        <w:t xml:space="preserve">Критериите за осигуряване на информация за инвестиционни/ инфраструктурни проекти - </w:t>
      </w:r>
      <w:r w:rsidR="001C102F" w:rsidRPr="0079084F">
        <w:rPr>
          <w:rFonts w:eastAsia="EUAlbertina-Regu-Identity-H"/>
          <w:b/>
          <w:i/>
          <w:sz w:val="24"/>
          <w:szCs w:val="24"/>
          <w:lang w:val="bg-BG" w:eastAsia="bg-BG"/>
        </w:rPr>
        <w:t xml:space="preserve">Приложение № </w:t>
      </w:r>
      <w:r w:rsidR="0065457E">
        <w:rPr>
          <w:rFonts w:eastAsia="EUAlbertina-Regu-Identity-H"/>
          <w:b/>
          <w:i/>
          <w:sz w:val="24"/>
          <w:szCs w:val="24"/>
          <w:lang w:val="bg-BG" w:eastAsia="bg-BG"/>
        </w:rPr>
        <w:t>03.4</w:t>
      </w:r>
      <w:r w:rsidRPr="0079084F">
        <w:rPr>
          <w:rFonts w:eastAsia="EUAlbertina-Regu-Identity-H"/>
          <w:sz w:val="24"/>
          <w:szCs w:val="24"/>
          <w:lang w:val="bg-BG" w:eastAsia="bg-BG"/>
        </w:rPr>
        <w:t xml:space="preserve"> Оценката на инвестиционните/ инфраструктурни проекти с обща стойност на допустимите разходи под 75 млн. евро </w:t>
      </w:r>
      <w:r w:rsidR="001C102F" w:rsidRPr="0079084F">
        <w:rPr>
          <w:rFonts w:eastAsia="EUAlbertina-Regu-Identity-H"/>
          <w:sz w:val="24"/>
          <w:szCs w:val="24"/>
          <w:lang w:val="bg-BG" w:eastAsia="bg-BG"/>
        </w:rPr>
        <w:t>(</w:t>
      </w:r>
      <w:r w:rsidR="001C102F" w:rsidRPr="0079084F">
        <w:rPr>
          <w:rFonts w:eastAsia="EUAlbertina-Regu-Identity-H"/>
          <w:i/>
          <w:sz w:val="24"/>
          <w:szCs w:val="24"/>
          <w:lang w:val="bg-BG" w:eastAsia="bg-BG"/>
        </w:rPr>
        <w:t>по тематична цел 7</w:t>
      </w:r>
      <w:r w:rsidR="001C102F" w:rsidRPr="0079084F">
        <w:rPr>
          <w:rFonts w:eastAsia="EUAlbertina-Regu-Identity-H"/>
          <w:sz w:val="24"/>
          <w:szCs w:val="24"/>
          <w:lang w:val="bg-BG" w:eastAsia="bg-BG"/>
        </w:rPr>
        <w:t>) и под 50 млн. евро (</w:t>
      </w:r>
      <w:r w:rsidR="001C102F" w:rsidRPr="0079084F">
        <w:rPr>
          <w:rFonts w:eastAsia="EUAlbertina-Regu-Identity-H"/>
          <w:i/>
          <w:sz w:val="24"/>
          <w:szCs w:val="24"/>
          <w:lang w:val="bg-BG" w:eastAsia="bg-BG"/>
        </w:rPr>
        <w:t>по тематична цел 4</w:t>
      </w:r>
      <w:r w:rsidR="001C102F" w:rsidRPr="0079084F">
        <w:rPr>
          <w:rFonts w:eastAsia="EUAlbertina-Regu-Identity-H"/>
          <w:sz w:val="24"/>
          <w:szCs w:val="24"/>
          <w:lang w:val="bg-BG" w:eastAsia="bg-BG"/>
        </w:rPr>
        <w:t xml:space="preserve">) </w:t>
      </w:r>
      <w:r w:rsidRPr="0079084F">
        <w:rPr>
          <w:rFonts w:eastAsia="EUAlbertina-Regu-Identity-H"/>
          <w:sz w:val="24"/>
          <w:szCs w:val="24"/>
          <w:lang w:val="bg-BG" w:eastAsia="bg-BG"/>
        </w:rPr>
        <w:t>се прави в съответствие с приложими</w:t>
      </w:r>
      <w:r w:rsidR="001646A8" w:rsidRPr="0079084F">
        <w:rPr>
          <w:rFonts w:eastAsia="EUAlbertina-Regu-Identity-H"/>
          <w:sz w:val="24"/>
          <w:szCs w:val="24"/>
          <w:lang w:val="bg-BG" w:eastAsia="bg-BG"/>
        </w:rPr>
        <w:t>те</w:t>
      </w:r>
      <w:r w:rsidRPr="0079084F">
        <w:rPr>
          <w:rFonts w:eastAsia="EUAlbertina-Regu-Identity-H"/>
          <w:sz w:val="24"/>
          <w:szCs w:val="24"/>
          <w:lang w:val="bg-BG" w:eastAsia="bg-BG"/>
        </w:rPr>
        <w:t xml:space="preserve"> критерии, установени в </w:t>
      </w:r>
      <w:r w:rsidR="000574F6" w:rsidRPr="0079084F">
        <w:rPr>
          <w:rFonts w:eastAsia="EUAlbertina-Regu-Identity-H"/>
          <w:b/>
          <w:i/>
          <w:sz w:val="24"/>
          <w:szCs w:val="24"/>
          <w:lang w:val="bg-BG" w:eastAsia="bg-BG"/>
        </w:rPr>
        <w:t xml:space="preserve">Приложение № </w:t>
      </w:r>
      <w:r w:rsidR="0065457E">
        <w:rPr>
          <w:rFonts w:eastAsia="EUAlbertina-Regu-Identity-H"/>
          <w:b/>
          <w:i/>
          <w:sz w:val="24"/>
          <w:szCs w:val="24"/>
          <w:lang w:val="bg-BG" w:eastAsia="bg-BG"/>
        </w:rPr>
        <w:t>03.4</w:t>
      </w:r>
      <w:r w:rsidRPr="0079084F">
        <w:rPr>
          <w:rFonts w:eastAsia="EUAlbertina-Regu-Identity-H"/>
          <w:sz w:val="24"/>
          <w:szCs w:val="24"/>
          <w:lang w:val="bg-BG" w:eastAsia="bg-BG"/>
        </w:rPr>
        <w:t>, както е определено в Насоките за кандидатстване по ОПТТИ.</w:t>
      </w:r>
    </w:p>
    <w:p w:rsidR="00363B68" w:rsidRPr="0079084F" w:rsidRDefault="00363B68" w:rsidP="00363B68">
      <w:pPr>
        <w:jc w:val="both"/>
        <w:rPr>
          <w:spacing w:val="10"/>
          <w:sz w:val="24"/>
          <w:szCs w:val="24"/>
          <w:lang w:val="bg-BG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297689" w:rsidRPr="0079084F" w:rsidTr="00791681">
        <w:tc>
          <w:tcPr>
            <w:tcW w:w="9640" w:type="dxa"/>
            <w:gridSpan w:val="3"/>
            <w:shd w:val="clear" w:color="auto" w:fill="C6D9F1"/>
            <w:vAlign w:val="center"/>
          </w:tcPr>
          <w:p w:rsidR="00297689" w:rsidRPr="0079084F" w:rsidRDefault="00BC34B7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Описанието на проекта показва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свързаност </w:t>
            </w:r>
            <w:r w:rsidR="00BE3590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и съгласуваност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на проекта </w:t>
            </w:r>
            <w:r w:rsidR="00BE3590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с основните приложими хоризонтални политики на ЕС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 устойчиво развитие</w:t>
            </w:r>
            <w:r w:rsidR="00F01A0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(включващо: опазване на околната среда,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ab/>
              <w:t>ефективно</w:t>
            </w:r>
            <w:r w:rsidR="00F01A0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използване на ресурсите, 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смекчаване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измененията на климата и адаптация към него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устойчивост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при бедствия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превенция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 управление на риска от бедствия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); равни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възможности и недопускане на дискриминация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; равенство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между половете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; партньорство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 многостепенно управление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; държавни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помощи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; обществени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поръчки</w:t>
            </w:r>
            <w:r w:rsidR="00613F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; конкурентоспособност и други </w:t>
            </w:r>
            <w:r w:rsidR="00BE359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приложим</w:t>
            </w:r>
            <w:r w:rsidR="00F13F2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и:</w:t>
            </w:r>
          </w:p>
        </w:tc>
      </w:tr>
      <w:tr w:rsidR="00297689" w:rsidRPr="0079084F" w:rsidTr="00791681">
        <w:tc>
          <w:tcPr>
            <w:tcW w:w="993" w:type="dxa"/>
            <w:shd w:val="clear" w:color="auto" w:fill="DBE5F1" w:themeFill="accent1" w:themeFillTint="33"/>
            <w:vAlign w:val="center"/>
          </w:tcPr>
          <w:p w:rsidR="00297689" w:rsidRPr="0079084F" w:rsidRDefault="00297689" w:rsidP="00791681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97689" w:rsidRPr="0079084F" w:rsidRDefault="00EA3427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297689" w:rsidRPr="0079084F" w:rsidRDefault="00297689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297689" w:rsidRPr="0079084F" w:rsidTr="00791681">
        <w:tc>
          <w:tcPr>
            <w:tcW w:w="993" w:type="dxa"/>
            <w:vAlign w:val="center"/>
          </w:tcPr>
          <w:p w:rsidR="00297689" w:rsidRPr="0079084F" w:rsidRDefault="00297689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297689" w:rsidRPr="0079084F" w:rsidRDefault="00297689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297689" w:rsidRPr="0079084F" w:rsidRDefault="00297689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297689" w:rsidRPr="0079084F" w:rsidTr="00791681">
        <w:tc>
          <w:tcPr>
            <w:tcW w:w="993" w:type="dxa"/>
          </w:tcPr>
          <w:p w:rsidR="00297689" w:rsidRPr="0079084F" w:rsidRDefault="00297689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297689" w:rsidRPr="0079084F" w:rsidRDefault="00297689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297689" w:rsidRPr="0079084F" w:rsidRDefault="00297689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297689" w:rsidRPr="0079084F" w:rsidTr="00791681">
        <w:tc>
          <w:tcPr>
            <w:tcW w:w="993" w:type="dxa"/>
          </w:tcPr>
          <w:p w:rsidR="00297689" w:rsidRPr="0079084F" w:rsidRDefault="00297689" w:rsidP="00791681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297689" w:rsidRPr="0079084F" w:rsidRDefault="00297689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297689" w:rsidRPr="0079084F" w:rsidRDefault="00297689" w:rsidP="00791681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297689" w:rsidRPr="0079084F" w:rsidRDefault="00297689" w:rsidP="00363B68">
      <w:pPr>
        <w:jc w:val="both"/>
        <w:rPr>
          <w:spacing w:val="10"/>
          <w:sz w:val="24"/>
          <w:szCs w:val="24"/>
          <w:lang w:val="bg-BG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445155" w:rsidRPr="0079084F" w:rsidTr="00C41459">
        <w:tc>
          <w:tcPr>
            <w:tcW w:w="9640" w:type="dxa"/>
            <w:gridSpan w:val="3"/>
            <w:shd w:val="clear" w:color="auto" w:fill="C6D9F1"/>
            <w:vAlign w:val="center"/>
          </w:tcPr>
          <w:p w:rsidR="00445155" w:rsidRPr="0079084F" w:rsidRDefault="00445155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Описанието на проекта показва свързаност и съгласуваност на проекта с целите и приоритетите на националната и общоевропейска политика за програмния период 2014-2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 г.:</w:t>
            </w:r>
            <w:r w:rsidR="002A76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Споразумение за партньорство на Република България, очертаващо помощта на Европейските структурни и инвестиционни фондове за периода 2014-2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="002A76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 г.; Национална програма за реформи; Национална програма за развитие: България 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="002A76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0; Бялата книга – 2011 г.; Насоки за развитие на Трансевропейската транспортна мрежа; Стратегия за развитие на транспортната система на Република България до 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="002A76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 г.; Национална концепция за пространствено развитие 2013-2</w:t>
            </w:r>
            <w:r w:rsidR="00965BD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02</w:t>
            </w:r>
            <w:r w:rsidR="002A76D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5; ОПТ 2007-2013, с други оперативни програми и/или проекти/инициативи в ход и финансирани от други източници</w:t>
            </w:r>
            <w:r w:rsidR="00F13F2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:</w:t>
            </w:r>
          </w:p>
        </w:tc>
      </w:tr>
      <w:tr w:rsidR="00445155" w:rsidRPr="0079084F" w:rsidTr="00C41459">
        <w:tc>
          <w:tcPr>
            <w:tcW w:w="993" w:type="dxa"/>
            <w:shd w:val="clear" w:color="auto" w:fill="DBE5F1" w:themeFill="accent1" w:themeFillTint="33"/>
            <w:vAlign w:val="center"/>
          </w:tcPr>
          <w:p w:rsidR="00445155" w:rsidRPr="0079084F" w:rsidRDefault="00445155" w:rsidP="00C41459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445155" w:rsidRPr="0079084F" w:rsidRDefault="00EA3427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445155" w:rsidRPr="0079084F" w:rsidRDefault="00445155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445155" w:rsidRPr="0079084F" w:rsidTr="00C41459">
        <w:tc>
          <w:tcPr>
            <w:tcW w:w="993" w:type="dxa"/>
            <w:vAlign w:val="center"/>
          </w:tcPr>
          <w:p w:rsidR="00445155" w:rsidRPr="0079084F" w:rsidRDefault="00445155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445155" w:rsidRPr="0079084F" w:rsidRDefault="00445155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45155" w:rsidRPr="0079084F" w:rsidRDefault="00445155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45155" w:rsidRPr="0079084F" w:rsidTr="00C41459">
        <w:tc>
          <w:tcPr>
            <w:tcW w:w="993" w:type="dxa"/>
          </w:tcPr>
          <w:p w:rsidR="00445155" w:rsidRPr="0079084F" w:rsidRDefault="00445155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445155" w:rsidRPr="0079084F" w:rsidRDefault="00445155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45155" w:rsidRPr="0079084F" w:rsidRDefault="00445155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445155" w:rsidRPr="0079084F" w:rsidTr="00C41459">
        <w:tc>
          <w:tcPr>
            <w:tcW w:w="993" w:type="dxa"/>
          </w:tcPr>
          <w:p w:rsidR="00445155" w:rsidRPr="0079084F" w:rsidRDefault="00445155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445155" w:rsidRPr="0079084F" w:rsidRDefault="00445155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445155" w:rsidRPr="0079084F" w:rsidRDefault="00445155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445155" w:rsidRPr="0079084F" w:rsidRDefault="00445155" w:rsidP="00363B68">
      <w:pPr>
        <w:jc w:val="both"/>
        <w:rPr>
          <w:spacing w:val="10"/>
          <w:sz w:val="24"/>
          <w:szCs w:val="24"/>
          <w:lang w:val="bg-BG"/>
        </w:rPr>
      </w:pPr>
    </w:p>
    <w:p w:rsidR="00CA1D39" w:rsidRPr="0079084F" w:rsidRDefault="00451702" w:rsidP="005667D1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426"/>
        <w:jc w:val="both"/>
        <w:outlineLvl w:val="0"/>
        <w:rPr>
          <w:i/>
          <w:color w:val="000000"/>
          <w:lang w:val="bg-BG"/>
        </w:rPr>
      </w:pPr>
      <w:r w:rsidRPr="0079084F">
        <w:rPr>
          <w:rFonts w:eastAsia="EUAlbertina-Regu-Identity-H"/>
          <w:b/>
          <w:color w:val="000000"/>
          <w:sz w:val="24"/>
          <w:lang w:val="bg-BG" w:eastAsia="bg-BG"/>
        </w:rPr>
        <w:t>Структура, отговаряща за изпълнението на инвестиционния/ инфраструктурния проект, и нейният капацитет</w:t>
      </w:r>
    </w:p>
    <w:p w:rsidR="00363B68" w:rsidRPr="0079084F" w:rsidRDefault="00363B68" w:rsidP="00CA1D39">
      <w:pPr>
        <w:rPr>
          <w:i/>
          <w:lang w:val="bg-BG"/>
        </w:rPr>
      </w:pPr>
      <w:r w:rsidRPr="0079084F">
        <w:rPr>
          <w:i/>
          <w:lang w:val="bg-BG"/>
        </w:rPr>
        <w:t xml:space="preserve">Критерии </w:t>
      </w:r>
      <w:r w:rsidR="00025CE6" w:rsidRPr="0079084F">
        <w:rPr>
          <w:i/>
          <w:lang w:val="bg-BG"/>
        </w:rPr>
        <w:t xml:space="preserve">за техническа и финансова оценка във връзка с изискванията за предоставяне на информация по </w:t>
      </w:r>
      <w:r w:rsidRPr="0079084F">
        <w:rPr>
          <w:b/>
          <w:i/>
          <w:lang w:val="bg-BG"/>
        </w:rPr>
        <w:t>член 101, буква а)</w:t>
      </w:r>
      <w:r w:rsidRPr="0079084F">
        <w:rPr>
          <w:i/>
          <w:lang w:val="bg-BG"/>
        </w:rPr>
        <w:t xml:space="preserve"> от Регламент (ЕС) № 1303/2013</w:t>
      </w:r>
      <w:r w:rsidR="0004083A" w:rsidRPr="0079084F">
        <w:rPr>
          <w:i/>
          <w:lang w:val="bg-BG"/>
        </w:rPr>
        <w:t xml:space="preserve"> г.</w:t>
      </w:r>
    </w:p>
    <w:p w:rsidR="00363B68" w:rsidRPr="0079084F" w:rsidRDefault="00363B68" w:rsidP="00363B68">
      <w:pPr>
        <w:jc w:val="both"/>
        <w:rPr>
          <w:spacing w:val="10"/>
          <w:sz w:val="24"/>
          <w:szCs w:val="24"/>
          <w:lang w:val="bg-BG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363B68" w:rsidRPr="0079084F" w:rsidTr="000736D8">
        <w:tc>
          <w:tcPr>
            <w:tcW w:w="9640" w:type="dxa"/>
            <w:gridSpan w:val="3"/>
            <w:shd w:val="clear" w:color="auto" w:fill="C6D9F1"/>
            <w:vAlign w:val="center"/>
          </w:tcPr>
          <w:p w:rsidR="00363B68" w:rsidRPr="0079084F" w:rsidRDefault="00363B68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C6007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Информацията за структурата, отговаряща за изпълнението на инвестиционния/ инфраструктурния проект, и за нейния капацитет, показва </w:t>
            </w:r>
            <w:r w:rsidR="00275CFC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достатъчен </w:t>
            </w:r>
            <w:r w:rsidR="00F20202" w:rsidRPr="007C600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технически, </w:t>
            </w:r>
            <w:r w:rsidR="005D49BC" w:rsidRPr="007C600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юридически и </w:t>
            </w:r>
            <w:r w:rsidR="00275CFC" w:rsidRPr="007C600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финансов капацитет</w:t>
            </w:r>
            <w:r w:rsidR="00275CFC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5D49BC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на </w:t>
            </w:r>
            <w:r w:rsidR="00851DFB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="005D49BC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а</w:t>
            </w:r>
            <w:r w:rsidR="006B14D6" w:rsidRPr="007C6007">
              <w:rPr>
                <w:rStyle w:val="FootnoteReference"/>
                <w:rFonts w:ascii="Times New Roman" w:hAnsi="Times New Roman"/>
                <w:spacing w:val="10"/>
                <w:sz w:val="24"/>
                <w:szCs w:val="24"/>
              </w:rPr>
              <w:footnoteReference w:id="7"/>
            </w:r>
            <w:r w:rsidRPr="007C6007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</w:p>
        </w:tc>
      </w:tr>
      <w:tr w:rsidR="00363B68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0736D8">
        <w:tc>
          <w:tcPr>
            <w:tcW w:w="99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0736D8">
        <w:tc>
          <w:tcPr>
            <w:tcW w:w="993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0736D8">
        <w:tc>
          <w:tcPr>
            <w:tcW w:w="993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275CFC" w:rsidRPr="0079084F" w:rsidTr="008B16B3">
        <w:tc>
          <w:tcPr>
            <w:tcW w:w="9640" w:type="dxa"/>
            <w:gridSpan w:val="3"/>
            <w:shd w:val="clear" w:color="auto" w:fill="C6D9F1"/>
            <w:vAlign w:val="center"/>
          </w:tcPr>
          <w:p w:rsidR="00275CFC" w:rsidRPr="0079084F" w:rsidRDefault="00275CFC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Информацията за структурата, отговаряща за изпълнението на инвестиционния/ инфраструктурния проект, и за нейния капацитет, показва достатъчен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административен капацитет</w:t>
            </w:r>
            <w:r w:rsidR="006B14D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за изпълнение на дейностите по проектното предложение; Установена е ясна структура за управление/ изпълнение на проекта; Създадени и действащи системи за добро управление и контрол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</w:p>
        </w:tc>
      </w:tr>
      <w:tr w:rsidR="00275CFC" w:rsidRPr="0079084F" w:rsidTr="008B16B3">
        <w:tc>
          <w:tcPr>
            <w:tcW w:w="993" w:type="dxa"/>
            <w:shd w:val="clear" w:color="auto" w:fill="DBE5F1" w:themeFill="accent1" w:themeFillTint="33"/>
            <w:vAlign w:val="center"/>
          </w:tcPr>
          <w:p w:rsidR="00275CFC" w:rsidRPr="0079084F" w:rsidRDefault="00275CFC" w:rsidP="008B16B3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75CFC" w:rsidRPr="0079084F" w:rsidRDefault="00EA342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275CFC" w:rsidRPr="0079084F" w:rsidRDefault="00275CFC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275CFC" w:rsidRPr="0079084F" w:rsidTr="008B16B3">
        <w:tc>
          <w:tcPr>
            <w:tcW w:w="993" w:type="dxa"/>
            <w:vAlign w:val="center"/>
          </w:tcPr>
          <w:p w:rsidR="00275CFC" w:rsidRPr="0079084F" w:rsidRDefault="00275CFC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275CFC" w:rsidRPr="0079084F" w:rsidRDefault="00275CFC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275CFC" w:rsidRPr="0079084F" w:rsidRDefault="00275CFC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275CFC" w:rsidRPr="0079084F" w:rsidTr="008B16B3">
        <w:tc>
          <w:tcPr>
            <w:tcW w:w="993" w:type="dxa"/>
          </w:tcPr>
          <w:p w:rsidR="00275CFC" w:rsidRPr="0079084F" w:rsidRDefault="00275CFC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275CFC" w:rsidRPr="0079084F" w:rsidRDefault="00275CFC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275CFC" w:rsidRPr="0079084F" w:rsidRDefault="00275CFC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275CFC" w:rsidRPr="0079084F" w:rsidTr="008B16B3">
        <w:tc>
          <w:tcPr>
            <w:tcW w:w="993" w:type="dxa"/>
          </w:tcPr>
          <w:p w:rsidR="00275CFC" w:rsidRPr="0079084F" w:rsidRDefault="00275CFC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275CFC" w:rsidRPr="0079084F" w:rsidRDefault="00275CFC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275CFC" w:rsidRPr="0079084F" w:rsidRDefault="00275CFC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275CFC" w:rsidRPr="0079084F" w:rsidRDefault="00275CFC" w:rsidP="00363B68">
      <w:pPr>
        <w:jc w:val="both"/>
        <w:rPr>
          <w:rFonts w:eastAsia="EUAlbertina-Regu-Identity-H"/>
          <w:b/>
          <w:bCs/>
          <w:sz w:val="24"/>
          <w:szCs w:val="24"/>
          <w:lang w:val="bg-BG" w:eastAsia="bg-BG"/>
        </w:rPr>
      </w:pPr>
    </w:p>
    <w:p w:rsidR="00474F1F" w:rsidRPr="0079084F" w:rsidRDefault="00474F1F" w:rsidP="00474F1F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426"/>
        <w:jc w:val="both"/>
        <w:outlineLvl w:val="0"/>
        <w:rPr>
          <w:b/>
          <w:color w:val="000000"/>
          <w:sz w:val="24"/>
          <w:szCs w:val="24"/>
          <w:lang w:val="bg-BG"/>
        </w:rPr>
      </w:pPr>
      <w:r w:rsidRPr="0079084F">
        <w:rPr>
          <w:b/>
          <w:color w:val="000000"/>
          <w:sz w:val="24"/>
          <w:lang w:val="bg-BG"/>
        </w:rPr>
        <w:t>Описание на инвестицията и нейното местоположение</w:t>
      </w:r>
    </w:p>
    <w:p w:rsidR="00363B68" w:rsidRPr="0079084F" w:rsidRDefault="00363B68" w:rsidP="00474F1F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025CE6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за предоставяне на информация по </w:t>
      </w:r>
      <w:r w:rsidRPr="0079084F">
        <w:rPr>
          <w:b/>
          <w:i/>
          <w:color w:val="000000"/>
          <w:lang w:val="bg-BG"/>
        </w:rPr>
        <w:t>член 101, буква б)</w:t>
      </w:r>
      <w:r w:rsidRPr="0079084F">
        <w:rPr>
          <w:i/>
          <w:color w:val="000000"/>
          <w:lang w:val="bg-BG"/>
        </w:rPr>
        <w:t xml:space="preserve"> от Регламент (ЕС) № 1303/2013</w:t>
      </w:r>
      <w:r w:rsidR="00C954B2" w:rsidRPr="0079084F">
        <w:rPr>
          <w:i/>
          <w:color w:val="000000"/>
          <w:lang w:val="bg-BG"/>
        </w:rPr>
        <w:t xml:space="preserve"> г.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363B68" w:rsidRPr="0079084F" w:rsidTr="000736D8">
        <w:tc>
          <w:tcPr>
            <w:tcW w:w="9640" w:type="dxa"/>
            <w:gridSpan w:val="3"/>
            <w:shd w:val="clear" w:color="auto" w:fill="C6D9F1"/>
            <w:vAlign w:val="center"/>
          </w:tcPr>
          <w:p w:rsidR="00363B68" w:rsidRPr="0079084F" w:rsidRDefault="00A02AB9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Описанието 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 инвестицията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нейното местоположение ясно и точно описва обхвата на проекта във връзка с мястото на изпълнение или района на проекта. </w:t>
            </w:r>
          </w:p>
        </w:tc>
      </w:tr>
      <w:tr w:rsidR="00363B68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0736D8">
        <w:tc>
          <w:tcPr>
            <w:tcW w:w="99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0736D8">
        <w:tc>
          <w:tcPr>
            <w:tcW w:w="993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0736D8">
        <w:tc>
          <w:tcPr>
            <w:tcW w:w="993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363B68">
      <w:pPr>
        <w:tabs>
          <w:tab w:val="left" w:pos="142"/>
          <w:tab w:val="left" w:pos="1701"/>
        </w:tabs>
        <w:rPr>
          <w:b/>
          <w:spacing w:val="10"/>
          <w:sz w:val="24"/>
          <w:szCs w:val="24"/>
          <w:lang w:val="bg-BG"/>
        </w:rPr>
      </w:pPr>
    </w:p>
    <w:p w:rsidR="00003EFB" w:rsidRPr="0079084F" w:rsidRDefault="00003EFB" w:rsidP="00824B7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284" w:hanging="284"/>
        <w:jc w:val="both"/>
        <w:outlineLvl w:val="0"/>
        <w:rPr>
          <w:i/>
          <w:color w:val="000000"/>
          <w:sz w:val="24"/>
          <w:szCs w:val="24"/>
          <w:lang w:val="bg-BG"/>
        </w:rPr>
      </w:pPr>
      <w:r w:rsidRPr="0079084F">
        <w:rPr>
          <w:rFonts w:eastAsia="EUAlbertina-Regu-Identity-H"/>
          <w:b/>
          <w:color w:val="000000"/>
          <w:sz w:val="24"/>
          <w:lang w:val="bg-BG" w:eastAsia="bg-BG"/>
        </w:rPr>
        <w:t>Всичко разходи и всичко допустими разходи</w:t>
      </w:r>
    </w:p>
    <w:p w:rsidR="00363B68" w:rsidRPr="0079084F" w:rsidRDefault="00003EFB" w:rsidP="00003EFB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 </w:t>
      </w:r>
      <w:r w:rsidR="00363B68" w:rsidRPr="0079084F">
        <w:rPr>
          <w:i/>
          <w:color w:val="000000"/>
          <w:lang w:val="bg-BG"/>
        </w:rPr>
        <w:t>Критерии</w:t>
      </w:r>
      <w:r w:rsidR="00DD34D8" w:rsidRPr="0079084F">
        <w:rPr>
          <w:i/>
          <w:color w:val="000000"/>
          <w:lang w:val="bg-BG"/>
        </w:rPr>
        <w:t xml:space="preserve"> </w:t>
      </w:r>
      <w:r w:rsidR="00025CE6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за предоставяне на информация по </w:t>
      </w:r>
      <w:r w:rsidR="00363B68" w:rsidRPr="0079084F">
        <w:rPr>
          <w:b/>
          <w:i/>
          <w:color w:val="000000"/>
          <w:lang w:val="bg-BG"/>
        </w:rPr>
        <w:t>член 101, буква в)</w:t>
      </w:r>
      <w:r w:rsidR="00363B68" w:rsidRPr="0079084F">
        <w:rPr>
          <w:i/>
          <w:color w:val="000000"/>
          <w:lang w:val="bg-BG"/>
        </w:rPr>
        <w:t xml:space="preserve"> от Регламент (ЕС) № 1303/2013</w:t>
      </w:r>
      <w:r w:rsidR="00C954B2" w:rsidRPr="0079084F">
        <w:rPr>
          <w:i/>
          <w:color w:val="000000"/>
          <w:lang w:val="bg-BG"/>
        </w:rPr>
        <w:t xml:space="preserve"> г.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6804"/>
      </w:tblGrid>
      <w:tr w:rsidR="00363B68" w:rsidRPr="0079084F" w:rsidTr="000736D8">
        <w:tc>
          <w:tcPr>
            <w:tcW w:w="9640" w:type="dxa"/>
            <w:gridSpan w:val="3"/>
            <w:shd w:val="clear" w:color="auto" w:fill="C6D9F1"/>
            <w:vAlign w:val="center"/>
          </w:tcPr>
          <w:p w:rsidR="00363B68" w:rsidRPr="0079084F" w:rsidRDefault="00363B68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Правилност на изчислението на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общия размер на разходите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общи</w:t>
            </w:r>
            <w:r w:rsidR="00ED2EBC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я размер на допустимите разходи</w:t>
            </w:r>
            <w:r w:rsidR="00ED2EB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когато е приложимо се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вземат предвид изискванията по член 61 от Регламент (ЕС) № 1303/2013 г.</w:t>
            </w:r>
            <w:r w:rsidR="00ED2EBC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</w:tr>
      <w:tr w:rsidR="00363B68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0736D8">
        <w:tc>
          <w:tcPr>
            <w:tcW w:w="99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0736D8">
        <w:tc>
          <w:tcPr>
            <w:tcW w:w="993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0736D8">
        <w:tc>
          <w:tcPr>
            <w:tcW w:w="993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ED2EBC" w:rsidRPr="0079084F" w:rsidTr="0046351F">
        <w:tc>
          <w:tcPr>
            <w:tcW w:w="9640" w:type="dxa"/>
            <w:gridSpan w:val="3"/>
            <w:shd w:val="clear" w:color="auto" w:fill="C6D9F1"/>
            <w:vAlign w:val="center"/>
          </w:tcPr>
          <w:p w:rsidR="00ED2EBC" w:rsidRPr="0079084F" w:rsidRDefault="00ED2EBC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Наличие на достатъчно подробна и подходяща обосновка на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изчислението на разходите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 гледна точка на общия размер на разходите за постигане на преследваните цели и от гледна точка на разходи</w:t>
            </w:r>
            <w:r w:rsidR="00310C4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те по дейности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в съответните случаи. </w:t>
            </w:r>
          </w:p>
        </w:tc>
      </w:tr>
      <w:tr w:rsidR="00ED2EBC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ED2EBC" w:rsidRPr="0079084F" w:rsidRDefault="00ED2EBC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D2EBC" w:rsidRPr="0079084F" w:rsidRDefault="00EA3427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ED2EBC" w:rsidRPr="0079084F" w:rsidRDefault="00ED2EBC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ED2EBC" w:rsidRPr="0079084F" w:rsidTr="0046351F">
        <w:tc>
          <w:tcPr>
            <w:tcW w:w="993" w:type="dxa"/>
            <w:vAlign w:val="center"/>
          </w:tcPr>
          <w:p w:rsidR="00ED2EBC" w:rsidRPr="0079084F" w:rsidRDefault="00ED2EBC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ED2EBC" w:rsidRPr="0079084F" w:rsidRDefault="00ED2EBC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ED2EBC" w:rsidRPr="0079084F" w:rsidRDefault="00ED2EBC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ED2EBC" w:rsidRPr="0079084F" w:rsidTr="0046351F">
        <w:tc>
          <w:tcPr>
            <w:tcW w:w="993" w:type="dxa"/>
          </w:tcPr>
          <w:p w:rsidR="00ED2EBC" w:rsidRPr="0079084F" w:rsidRDefault="00ED2EBC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ED2EBC" w:rsidRPr="0079084F" w:rsidRDefault="00ED2EBC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ED2EBC" w:rsidRPr="0079084F" w:rsidRDefault="00ED2EBC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ED2EBC" w:rsidRPr="0079084F" w:rsidTr="0046351F">
        <w:tc>
          <w:tcPr>
            <w:tcW w:w="993" w:type="dxa"/>
          </w:tcPr>
          <w:p w:rsidR="00ED2EBC" w:rsidRPr="0079084F" w:rsidRDefault="00ED2EBC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ED2EBC" w:rsidRPr="0079084F" w:rsidRDefault="00ED2EBC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ED2EBC" w:rsidRPr="0079084F" w:rsidRDefault="00ED2EBC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9979B5" w:rsidRPr="0079084F" w:rsidTr="009979B5">
        <w:tc>
          <w:tcPr>
            <w:tcW w:w="9640" w:type="dxa"/>
            <w:gridSpan w:val="3"/>
            <w:shd w:val="clear" w:color="auto" w:fill="C6D9F1"/>
            <w:vAlign w:val="center"/>
          </w:tcPr>
          <w:p w:rsidR="009979B5" w:rsidRPr="0079084F" w:rsidRDefault="009979B5" w:rsidP="00965BD9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Информацията, относно съответствието с правилата за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държавни помощи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доказва, че подкрепата за проекта с публични средства не представлява държавна помощ или — ако представлява държавна помощ — че е била правилно отчетена при изчислението на общия размер на публичните средства, отпуснати за проекта.</w:t>
            </w:r>
            <w:r w:rsidR="00992C3E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</w:tr>
      <w:tr w:rsidR="009979B5" w:rsidRPr="0079084F" w:rsidTr="00B545CF">
        <w:tc>
          <w:tcPr>
            <w:tcW w:w="993" w:type="dxa"/>
            <w:shd w:val="clear" w:color="auto" w:fill="DBE5F1" w:themeFill="accent1" w:themeFillTint="33"/>
            <w:vAlign w:val="center"/>
          </w:tcPr>
          <w:p w:rsidR="009979B5" w:rsidRPr="0079084F" w:rsidRDefault="009979B5" w:rsidP="009979B5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979B5" w:rsidRPr="0079084F" w:rsidRDefault="00EA3427" w:rsidP="009979B5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9979B5" w:rsidRPr="0079084F" w:rsidRDefault="009979B5" w:rsidP="009979B5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9979B5" w:rsidRPr="0079084F" w:rsidTr="009979B5">
        <w:tc>
          <w:tcPr>
            <w:tcW w:w="993" w:type="dxa"/>
            <w:vAlign w:val="center"/>
          </w:tcPr>
          <w:p w:rsidR="009979B5" w:rsidRPr="0079084F" w:rsidRDefault="009979B5" w:rsidP="009979B5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9979B5" w:rsidRPr="0079084F" w:rsidRDefault="009979B5" w:rsidP="009979B5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9979B5" w:rsidRPr="0079084F" w:rsidRDefault="009979B5" w:rsidP="009979B5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9979B5" w:rsidRPr="0079084F" w:rsidTr="009979B5">
        <w:tc>
          <w:tcPr>
            <w:tcW w:w="993" w:type="dxa"/>
          </w:tcPr>
          <w:p w:rsidR="009979B5" w:rsidRPr="0079084F" w:rsidRDefault="009979B5" w:rsidP="009979B5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НЕ</w:t>
            </w:r>
          </w:p>
        </w:tc>
        <w:tc>
          <w:tcPr>
            <w:tcW w:w="1843" w:type="dxa"/>
            <w:vAlign w:val="center"/>
          </w:tcPr>
          <w:p w:rsidR="009979B5" w:rsidRPr="0079084F" w:rsidRDefault="009979B5" w:rsidP="009979B5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9979B5" w:rsidRPr="0079084F" w:rsidRDefault="009979B5" w:rsidP="009979B5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9979B5" w:rsidRPr="0079084F" w:rsidTr="009979B5">
        <w:tc>
          <w:tcPr>
            <w:tcW w:w="993" w:type="dxa"/>
          </w:tcPr>
          <w:p w:rsidR="009979B5" w:rsidRPr="0079084F" w:rsidRDefault="009979B5" w:rsidP="009979B5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9979B5" w:rsidRPr="0079084F" w:rsidRDefault="009979B5" w:rsidP="009979B5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804" w:type="dxa"/>
          </w:tcPr>
          <w:p w:rsidR="009979B5" w:rsidRPr="0079084F" w:rsidRDefault="009979B5" w:rsidP="009979B5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6E088A" w:rsidRPr="0079084F" w:rsidRDefault="006E088A" w:rsidP="006E088A">
      <w:pPr>
        <w:tabs>
          <w:tab w:val="left" w:pos="142"/>
          <w:tab w:val="left" w:pos="170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pacing w:val="10"/>
          <w:lang w:val="bg-BG" w:eastAsia="cs-CZ"/>
        </w:rPr>
      </w:pPr>
      <w:r w:rsidRPr="0079084F">
        <w:rPr>
          <w:spacing w:val="10"/>
          <w:lang w:val="bg-BG" w:eastAsia="cs-CZ"/>
        </w:rPr>
        <w:t>*</w:t>
      </w:r>
      <w:r w:rsidRPr="0079084F">
        <w:rPr>
          <w:b/>
          <w:spacing w:val="10"/>
          <w:lang w:val="bg-BG" w:eastAsia="cs-CZ"/>
        </w:rPr>
        <w:t>Ако отговорът е утвърдителен</w:t>
      </w:r>
      <w:r w:rsidRPr="0079084F">
        <w:rPr>
          <w:spacing w:val="10"/>
          <w:lang w:val="bg-BG" w:eastAsia="cs-CZ"/>
        </w:rPr>
        <w:t>, моля, обяснете на каква основа е гарантирано съответствието с правилата за държавната помощ. Моля, предоставете тази информация за всички групи потенциални получатели на държавната помощ, например в случай на инфраструктури — за собственика, строителната организация, стопанисващия и за ползвателите на инфраструктурата.</w:t>
      </w:r>
    </w:p>
    <w:p w:rsidR="006E088A" w:rsidRPr="0079084F" w:rsidRDefault="006E088A" w:rsidP="006E088A">
      <w:pPr>
        <w:tabs>
          <w:tab w:val="left" w:pos="142"/>
          <w:tab w:val="left" w:pos="1701"/>
        </w:tabs>
        <w:jc w:val="both"/>
        <w:rPr>
          <w:spacing w:val="10"/>
          <w:lang w:val="bg-BG"/>
        </w:rPr>
      </w:pPr>
    </w:p>
    <w:p w:rsidR="006E088A" w:rsidRPr="0079084F" w:rsidRDefault="006E088A" w:rsidP="006E088A">
      <w:pPr>
        <w:tabs>
          <w:tab w:val="left" w:pos="142"/>
          <w:tab w:val="left" w:pos="1701"/>
        </w:tabs>
        <w:jc w:val="both"/>
        <w:rPr>
          <w:spacing w:val="10"/>
          <w:lang w:val="bg-BG"/>
        </w:rPr>
      </w:pPr>
      <w:r w:rsidRPr="0079084F">
        <w:rPr>
          <w:spacing w:val="10"/>
          <w:lang w:val="bg-BG"/>
        </w:rPr>
        <w:t xml:space="preserve">** </w:t>
      </w:r>
      <w:r w:rsidRPr="0079084F">
        <w:rPr>
          <w:b/>
          <w:spacing w:val="10"/>
          <w:lang w:val="bg-BG"/>
        </w:rPr>
        <w:t>Ако отговорът е отрицателен</w:t>
      </w:r>
      <w:r w:rsidRPr="0079084F">
        <w:rPr>
          <w:spacing w:val="10"/>
          <w:lang w:val="bg-BG"/>
        </w:rPr>
        <w:t>, моля, подробно обяснете защо считате, че подкрепата не представлява държавна помощ. Моля, предоставете тази информация за всички групи потенциални получатели на държавната помощ</w:t>
      </w:r>
    </w:p>
    <w:p w:rsidR="006E088A" w:rsidRPr="0079084F" w:rsidRDefault="006E088A" w:rsidP="006E088A">
      <w:pPr>
        <w:tabs>
          <w:tab w:val="left" w:pos="142"/>
          <w:tab w:val="left" w:pos="1701"/>
        </w:tabs>
        <w:jc w:val="both"/>
        <w:rPr>
          <w:spacing w:val="10"/>
          <w:lang w:val="bg-BG"/>
        </w:rPr>
      </w:pPr>
      <w:r w:rsidRPr="0079084F">
        <w:rPr>
          <w:spacing w:val="10"/>
          <w:lang w:val="bg-BG"/>
        </w:rPr>
        <w:t xml:space="preserve">(например в случай на инфраструктури потенциални получатели на помощта са: собственикът на инфраструктурата, строителната организация, стопанисващият инфраструктурата и ползвателите на инфраструктурата) (1). Ако е приложимо, моля, посочете дали причината, поради която смятате, че проектът не включва държавна помощ, е, че: </w:t>
      </w:r>
    </w:p>
    <w:p w:rsidR="006E088A" w:rsidRPr="0079084F" w:rsidRDefault="006E088A" w:rsidP="006E088A">
      <w:pPr>
        <w:numPr>
          <w:ilvl w:val="0"/>
          <w:numId w:val="9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1134" w:hanging="425"/>
        <w:contextualSpacing/>
        <w:jc w:val="both"/>
        <w:textAlignment w:val="baseline"/>
        <w:rPr>
          <w:spacing w:val="10"/>
          <w:lang w:val="bg-BG" w:eastAsia="cs-CZ"/>
        </w:rPr>
      </w:pPr>
      <w:r w:rsidRPr="0079084F">
        <w:rPr>
          <w:spacing w:val="10"/>
          <w:lang w:val="bg-BG" w:eastAsia="cs-CZ"/>
        </w:rPr>
        <w:t xml:space="preserve">проектът не касае икономическа дейност (включително дейности от обществен интерес) или че </w:t>
      </w:r>
    </w:p>
    <w:p w:rsidR="006E088A" w:rsidRPr="0079084F" w:rsidRDefault="006E088A" w:rsidP="006E088A">
      <w:pPr>
        <w:numPr>
          <w:ilvl w:val="0"/>
          <w:numId w:val="9"/>
        </w:numPr>
        <w:tabs>
          <w:tab w:val="left" w:pos="142"/>
          <w:tab w:val="left" w:pos="1134"/>
        </w:tabs>
        <w:overflowPunct w:val="0"/>
        <w:autoSpaceDE w:val="0"/>
        <w:autoSpaceDN w:val="0"/>
        <w:adjustRightInd w:val="0"/>
        <w:ind w:left="1134" w:hanging="425"/>
        <w:contextualSpacing/>
        <w:jc w:val="both"/>
        <w:textAlignment w:val="baseline"/>
        <w:rPr>
          <w:spacing w:val="10"/>
          <w:lang w:val="bg-BG" w:eastAsia="cs-CZ"/>
        </w:rPr>
      </w:pPr>
      <w:r w:rsidRPr="0079084F">
        <w:rPr>
          <w:spacing w:val="10"/>
          <w:lang w:val="bg-BG" w:eastAsia="cs-CZ"/>
        </w:rPr>
        <w:t>получателят(ите) на подкрепата се ползва(т) със законен монопол по отношение на съответните дейности и не упражняват дейност в друг либерализиран сектор (или ще води(ят) отделна счетоводна отчетност, в случай че получателят(ите) упражнява(т) дейност в други сектори).</w:t>
      </w:r>
    </w:p>
    <w:p w:rsidR="00363B68" w:rsidRPr="0079084F" w:rsidRDefault="00363B68" w:rsidP="00363B68">
      <w:pPr>
        <w:tabs>
          <w:tab w:val="left" w:pos="142"/>
          <w:tab w:val="left" w:pos="1701"/>
        </w:tabs>
        <w:rPr>
          <w:b/>
          <w:spacing w:val="10"/>
          <w:sz w:val="24"/>
          <w:szCs w:val="24"/>
          <w:lang w:val="bg-BG"/>
        </w:rPr>
      </w:pPr>
    </w:p>
    <w:p w:rsidR="00003EFB" w:rsidRPr="0079084F" w:rsidRDefault="00451702" w:rsidP="0045170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284" w:hanging="284"/>
        <w:jc w:val="both"/>
        <w:outlineLvl w:val="0"/>
        <w:rPr>
          <w:rFonts w:eastAsia="EUAlbertina-Regu-Identity-H"/>
          <w:b/>
          <w:color w:val="000000"/>
          <w:sz w:val="24"/>
          <w:lang w:val="bg-BG" w:eastAsia="bg-BG"/>
        </w:rPr>
      </w:pPr>
      <w:r w:rsidRPr="0079084F">
        <w:rPr>
          <w:rFonts w:eastAsia="EUAlbertina-Regu-Identity-H"/>
          <w:b/>
          <w:color w:val="000000"/>
          <w:sz w:val="24"/>
          <w:lang w:val="bg-BG" w:eastAsia="bg-BG"/>
        </w:rPr>
        <w:t xml:space="preserve">Проучвания </w:t>
      </w:r>
      <w:r w:rsidR="00003EFB" w:rsidRPr="0079084F">
        <w:rPr>
          <w:rFonts w:eastAsia="EUAlbertina-Regu-Identity-H"/>
          <w:b/>
          <w:color w:val="000000"/>
          <w:sz w:val="24"/>
          <w:lang w:val="bg-BG" w:eastAsia="bg-BG"/>
        </w:rPr>
        <w:t>за осъществимост</w:t>
      </w:r>
    </w:p>
    <w:p w:rsidR="00363B68" w:rsidRPr="0079084F" w:rsidRDefault="00363B68" w:rsidP="00003EFB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025CE6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за предоставяне на информация по </w:t>
      </w:r>
      <w:r w:rsidRPr="0079084F">
        <w:rPr>
          <w:b/>
          <w:i/>
          <w:color w:val="000000"/>
          <w:lang w:val="bg-BG"/>
        </w:rPr>
        <w:t>член 101, буква г)</w:t>
      </w:r>
      <w:r w:rsidRPr="0079084F">
        <w:rPr>
          <w:i/>
          <w:color w:val="000000"/>
          <w:lang w:val="bg-BG"/>
        </w:rPr>
        <w:t xml:space="preserve"> от Регламент (ЕС) № 1303/2013</w:t>
      </w:r>
      <w:r w:rsidR="00C954B2" w:rsidRPr="0079084F">
        <w:rPr>
          <w:i/>
          <w:color w:val="000000"/>
          <w:lang w:val="bg-BG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"/>
        <w:gridCol w:w="1809"/>
        <w:gridCol w:w="34"/>
        <w:gridCol w:w="6911"/>
      </w:tblGrid>
      <w:tr w:rsidR="00CD26AF" w:rsidRPr="0079084F" w:rsidTr="00C8612A">
        <w:tc>
          <w:tcPr>
            <w:tcW w:w="9639" w:type="dxa"/>
            <w:gridSpan w:val="5"/>
            <w:shd w:val="clear" w:color="auto" w:fill="C6D9F1"/>
            <w:vAlign w:val="center"/>
          </w:tcPr>
          <w:p w:rsidR="00CD26AF" w:rsidRPr="0079084F" w:rsidRDefault="00A02AB9" w:rsidP="00967F4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Анализа </w:t>
            </w:r>
            <w:r w:rsidR="00CD26AF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 търсенето</w:t>
            </w:r>
            <w:r w:rsidR="00CD26A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отговаря на съответните критерии за осигуряване на информация за инвестиционни/ инфраструктурни проекти</w:t>
            </w:r>
            <w:r w:rsidR="00DF322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03.4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.</w:t>
            </w:r>
            <w:r w:rsidR="006D3D53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>от Насоките по ОПТТИ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)</w:t>
            </w:r>
            <w:r w:rsidR="00CD26AF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</w:p>
        </w:tc>
      </w:tr>
      <w:tr w:rsidR="00CD26AF" w:rsidRPr="0079084F" w:rsidTr="00C8612A">
        <w:tc>
          <w:tcPr>
            <w:tcW w:w="885" w:type="dxa"/>
            <w:gridSpan w:val="2"/>
            <w:shd w:val="clear" w:color="auto" w:fill="DBE5F1" w:themeFill="accent1" w:themeFillTint="33"/>
            <w:vAlign w:val="center"/>
          </w:tcPr>
          <w:p w:rsidR="00CD26AF" w:rsidRPr="0079084F" w:rsidRDefault="00CD26AF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CD26AF" w:rsidRPr="0079084F" w:rsidRDefault="00EA3427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11" w:type="dxa"/>
            <w:shd w:val="clear" w:color="auto" w:fill="DBE5F1" w:themeFill="accent1" w:themeFillTint="33"/>
          </w:tcPr>
          <w:p w:rsidR="00CD26AF" w:rsidRPr="0079084F" w:rsidRDefault="00CD26A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CD26AF" w:rsidRPr="0079084F" w:rsidTr="00C8612A">
        <w:tc>
          <w:tcPr>
            <w:tcW w:w="885" w:type="dxa"/>
            <w:gridSpan w:val="2"/>
            <w:vAlign w:val="center"/>
          </w:tcPr>
          <w:p w:rsidR="00CD26AF" w:rsidRPr="0079084F" w:rsidRDefault="00CD26A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CD26AF" w:rsidRPr="0079084F" w:rsidRDefault="00CD26A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11" w:type="dxa"/>
          </w:tcPr>
          <w:p w:rsidR="00CD26AF" w:rsidRPr="0079084F" w:rsidRDefault="00CD26A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CD26AF" w:rsidRPr="0079084F" w:rsidTr="00C8612A">
        <w:tc>
          <w:tcPr>
            <w:tcW w:w="885" w:type="dxa"/>
            <w:gridSpan w:val="2"/>
          </w:tcPr>
          <w:p w:rsidR="00CD26AF" w:rsidRPr="0079084F" w:rsidRDefault="00CD26A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gridSpan w:val="2"/>
            <w:vAlign w:val="center"/>
          </w:tcPr>
          <w:p w:rsidR="00CD26AF" w:rsidRPr="0079084F" w:rsidRDefault="00CD26A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11" w:type="dxa"/>
          </w:tcPr>
          <w:p w:rsidR="00CD26AF" w:rsidRPr="0079084F" w:rsidRDefault="00CD26A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CD26AF" w:rsidRPr="0079084F" w:rsidTr="00C8612A">
        <w:tc>
          <w:tcPr>
            <w:tcW w:w="885" w:type="dxa"/>
            <w:gridSpan w:val="2"/>
          </w:tcPr>
          <w:p w:rsidR="00CD26AF" w:rsidRPr="0079084F" w:rsidRDefault="00CD26AF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gridSpan w:val="2"/>
            <w:vAlign w:val="center"/>
          </w:tcPr>
          <w:p w:rsidR="00CD26AF" w:rsidRPr="0079084F" w:rsidRDefault="00CD26A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11" w:type="dxa"/>
          </w:tcPr>
          <w:p w:rsidR="00CD26AF" w:rsidRPr="0079084F" w:rsidRDefault="00CD26AF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F879E9" w:rsidRPr="0079084F" w:rsidTr="00C861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79E9" w:rsidRPr="0079084F" w:rsidRDefault="00F879E9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Проектното предложение съдържа </w:t>
            </w:r>
            <w:r w:rsidR="00E120E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данни за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извършени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пред-проектни проучвания</w:t>
            </w:r>
            <w:r w:rsidR="009D126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, данни за изготвено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проект</w:t>
            </w:r>
            <w:r w:rsidR="009D126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иране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; доклад по ОВОС</w:t>
            </w:r>
            <w:r w:rsidR="00E120E4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или извършена преценка за необходимостта от ОВОС</w:t>
            </w:r>
            <w:r w:rsidR="009D126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за големи проекти е приложена Декларация по Натура 2000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</w:p>
        </w:tc>
      </w:tr>
      <w:tr w:rsidR="00F879E9" w:rsidRPr="0079084F" w:rsidTr="00C8612A">
        <w:tc>
          <w:tcPr>
            <w:tcW w:w="851" w:type="dxa"/>
            <w:shd w:val="clear" w:color="auto" w:fill="DBE5F1" w:themeFill="accent1" w:themeFillTint="33"/>
            <w:vAlign w:val="center"/>
          </w:tcPr>
          <w:p w:rsidR="00F879E9" w:rsidRPr="0079084F" w:rsidRDefault="00F879E9" w:rsidP="008B16B3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F879E9" w:rsidRPr="0079084F" w:rsidRDefault="00EA342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 xml:space="preserve">Поставете </w:t>
            </w:r>
            <w:r w:rsidRPr="0079084F">
              <w:rPr>
                <w:spacing w:val="10"/>
                <w:lang w:val="bg-BG"/>
              </w:rPr>
              <w:lastRenderedPageBreak/>
              <w:t>отметка, където е уместно</w:t>
            </w:r>
          </w:p>
        </w:tc>
        <w:tc>
          <w:tcPr>
            <w:tcW w:w="6945" w:type="dxa"/>
            <w:gridSpan w:val="2"/>
            <w:shd w:val="clear" w:color="auto" w:fill="DBE5F1" w:themeFill="accent1" w:themeFillTint="33"/>
          </w:tcPr>
          <w:p w:rsidR="00F879E9" w:rsidRPr="0079084F" w:rsidRDefault="00F879E9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Моля, пояснете</w:t>
            </w:r>
          </w:p>
        </w:tc>
      </w:tr>
      <w:tr w:rsidR="00F879E9" w:rsidRPr="0079084F" w:rsidTr="00C8612A">
        <w:tc>
          <w:tcPr>
            <w:tcW w:w="851" w:type="dxa"/>
            <w:vAlign w:val="center"/>
          </w:tcPr>
          <w:p w:rsidR="00F879E9" w:rsidRPr="0079084F" w:rsidRDefault="00F879E9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F879E9" w:rsidRPr="0079084F" w:rsidRDefault="00F879E9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F879E9" w:rsidRPr="0079084F" w:rsidRDefault="00F879E9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F879E9" w:rsidRPr="0079084F" w:rsidTr="00C8612A">
        <w:tc>
          <w:tcPr>
            <w:tcW w:w="851" w:type="dxa"/>
          </w:tcPr>
          <w:p w:rsidR="00F879E9" w:rsidRPr="0079084F" w:rsidRDefault="00F879E9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gridSpan w:val="2"/>
            <w:vAlign w:val="center"/>
          </w:tcPr>
          <w:p w:rsidR="00F879E9" w:rsidRPr="0079084F" w:rsidRDefault="00F879E9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F879E9" w:rsidRPr="0079084F" w:rsidRDefault="00F879E9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F879E9" w:rsidRPr="0079084F" w:rsidTr="00C8612A">
        <w:tc>
          <w:tcPr>
            <w:tcW w:w="851" w:type="dxa"/>
          </w:tcPr>
          <w:p w:rsidR="00F879E9" w:rsidRPr="0079084F" w:rsidRDefault="00F879E9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gridSpan w:val="2"/>
            <w:vAlign w:val="center"/>
          </w:tcPr>
          <w:p w:rsidR="00F879E9" w:rsidRPr="0079084F" w:rsidRDefault="00F879E9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F879E9" w:rsidRPr="0079084F" w:rsidRDefault="00F879E9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8F6A40" w:rsidRPr="0079084F" w:rsidTr="00C8612A">
        <w:tc>
          <w:tcPr>
            <w:tcW w:w="9639" w:type="dxa"/>
            <w:gridSpan w:val="5"/>
            <w:shd w:val="clear" w:color="auto" w:fill="C6D9F1"/>
            <w:vAlign w:val="center"/>
          </w:tcPr>
          <w:p w:rsidR="008F6A40" w:rsidRPr="0079084F" w:rsidRDefault="00310C44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Анализа </w:t>
            </w:r>
            <w:r w:rsidR="008F6A40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 възможните варианти</w:t>
            </w:r>
            <w:r w:rsidR="008F6A4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показва, че са разгледани различн</w:t>
            </w:r>
            <w:r w:rsidR="00F90D15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="008F6A4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F90D15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осъществими </w:t>
            </w:r>
            <w:r w:rsidR="008F6A4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варианти </w:t>
            </w:r>
            <w:r w:rsidR="00F90D15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 има достатъчно доказателства от техническа гледна точка за избрания вариант.</w:t>
            </w:r>
          </w:p>
        </w:tc>
      </w:tr>
      <w:tr w:rsidR="008F6A40" w:rsidRPr="0079084F" w:rsidTr="00C8612A">
        <w:tc>
          <w:tcPr>
            <w:tcW w:w="851" w:type="dxa"/>
            <w:shd w:val="clear" w:color="auto" w:fill="DBE5F1" w:themeFill="accent1" w:themeFillTint="33"/>
            <w:vAlign w:val="center"/>
          </w:tcPr>
          <w:p w:rsidR="008F6A40" w:rsidRPr="0079084F" w:rsidRDefault="008F6A40" w:rsidP="0046351F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8F6A40" w:rsidRPr="0079084F" w:rsidRDefault="00EA3427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gridSpan w:val="2"/>
            <w:shd w:val="clear" w:color="auto" w:fill="DBE5F1" w:themeFill="accent1" w:themeFillTint="33"/>
          </w:tcPr>
          <w:p w:rsidR="008F6A40" w:rsidRPr="0079084F" w:rsidRDefault="008F6A40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8F6A40" w:rsidRPr="0079084F" w:rsidTr="00C8612A">
        <w:tc>
          <w:tcPr>
            <w:tcW w:w="851" w:type="dxa"/>
            <w:vAlign w:val="center"/>
          </w:tcPr>
          <w:p w:rsidR="008F6A40" w:rsidRPr="0079084F" w:rsidRDefault="008F6A40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8F6A40" w:rsidRPr="0079084F" w:rsidRDefault="008F6A40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8F6A40" w:rsidRPr="0079084F" w:rsidRDefault="008F6A40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8F6A40" w:rsidRPr="0079084F" w:rsidTr="00C8612A">
        <w:tc>
          <w:tcPr>
            <w:tcW w:w="851" w:type="dxa"/>
          </w:tcPr>
          <w:p w:rsidR="008F6A40" w:rsidRPr="0079084F" w:rsidRDefault="008F6A40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gridSpan w:val="2"/>
            <w:vAlign w:val="center"/>
          </w:tcPr>
          <w:p w:rsidR="008F6A40" w:rsidRPr="0079084F" w:rsidRDefault="008F6A40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8F6A40" w:rsidRPr="0079084F" w:rsidRDefault="008F6A40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8F6A40" w:rsidRPr="0079084F" w:rsidTr="00C8612A">
        <w:tc>
          <w:tcPr>
            <w:tcW w:w="851" w:type="dxa"/>
          </w:tcPr>
          <w:p w:rsidR="008F6A40" w:rsidRPr="0079084F" w:rsidRDefault="008F6A40" w:rsidP="0046351F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gridSpan w:val="2"/>
            <w:vAlign w:val="center"/>
          </w:tcPr>
          <w:p w:rsidR="008F6A40" w:rsidRPr="0079084F" w:rsidRDefault="008F6A40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8F6A40" w:rsidRPr="0079084F" w:rsidRDefault="008F6A40" w:rsidP="0046351F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C8612A">
        <w:tc>
          <w:tcPr>
            <w:tcW w:w="9639" w:type="dxa"/>
            <w:gridSpan w:val="5"/>
            <w:shd w:val="clear" w:color="auto" w:fill="C6D9F1"/>
            <w:vAlign w:val="center"/>
          </w:tcPr>
          <w:p w:rsidR="00363B68" w:rsidRPr="007C6007" w:rsidRDefault="00310C44" w:rsidP="006D3D53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Капацитета </w:t>
            </w:r>
            <w:r w:rsidR="00456675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на крайния </w:t>
            </w:r>
            <w:r w:rsidR="00851DFB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="00456675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доказва </w:t>
            </w:r>
            <w:r w:rsidR="00456675" w:rsidRPr="007C600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възможност за изпълнение на предложената технология на проекта</w:t>
            </w:r>
            <w:r w:rsidR="00456675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за </w:t>
            </w:r>
            <w:r w:rsidR="00456675" w:rsidRPr="007C600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осигуряване на неговата устойчивост</w:t>
            </w:r>
            <w:r w:rsidR="00EA0CC8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 w:rsidR="00456675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В случай на недостатъчен капацитет на крайния </w:t>
            </w:r>
            <w:r w:rsidR="00851DFB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="00456675"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е показано наличие на достатъчно разпоредби, предвидени за повишаване на капацитета до нужните равнища отговаря на съответните критерии за осигуряване на информация за инвестиционни/ инфраструктурни проекти</w:t>
            </w:r>
            <w:r w:rsidR="00DF322B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</w:p>
        </w:tc>
      </w:tr>
      <w:tr w:rsidR="00363B68" w:rsidRPr="0079084F" w:rsidTr="00C8612A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gridSpan w:val="2"/>
            <w:shd w:val="clear" w:color="auto" w:fill="DBE5F1" w:themeFill="accent1" w:themeFillTint="33"/>
          </w:tcPr>
          <w:p w:rsidR="00363B68" w:rsidRPr="007C6007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C6007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C8612A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C8612A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gridSpan w:val="2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C8612A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gridSpan w:val="2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C8612A">
        <w:tc>
          <w:tcPr>
            <w:tcW w:w="9639" w:type="dxa"/>
            <w:gridSpan w:val="5"/>
            <w:shd w:val="clear" w:color="auto" w:fill="C6D9F1"/>
            <w:vAlign w:val="center"/>
          </w:tcPr>
          <w:p w:rsidR="00363B68" w:rsidRPr="0079084F" w:rsidRDefault="00DA21F0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Проектът 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е осъществим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може да бъде изпълнен в планирания срок или най-късно до края на периода на допустимост по смисъла на член 65, параграф 2 от Регламент (ЕС) № 1303/2013. </w:t>
            </w:r>
          </w:p>
        </w:tc>
      </w:tr>
      <w:tr w:rsidR="00363B68" w:rsidRPr="0079084F" w:rsidTr="00C8612A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gridSpan w:val="2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C8612A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C8612A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gridSpan w:val="2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C8612A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Н/П</w:t>
            </w:r>
          </w:p>
        </w:tc>
        <w:tc>
          <w:tcPr>
            <w:tcW w:w="1843" w:type="dxa"/>
            <w:gridSpan w:val="2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  <w:gridSpan w:val="2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363B68">
      <w:pPr>
        <w:rPr>
          <w:lang w:val="bg-BG"/>
        </w:rPr>
      </w:pPr>
    </w:p>
    <w:p w:rsidR="00C8612A" w:rsidRPr="0079084F" w:rsidRDefault="00C8612A" w:rsidP="00824B7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before="240" w:after="120"/>
        <w:ind w:left="284" w:hanging="284"/>
        <w:jc w:val="both"/>
        <w:outlineLvl w:val="0"/>
        <w:rPr>
          <w:i/>
          <w:color w:val="000000"/>
          <w:sz w:val="24"/>
          <w:szCs w:val="24"/>
          <w:lang w:val="bg-BG"/>
        </w:rPr>
      </w:pP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Анализ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на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разходите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и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ползите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,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включително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финансов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и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икономически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анализ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,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и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оценка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на</w:t>
      </w:r>
      <w:r w:rsidRPr="0079084F">
        <w:rPr>
          <w:b/>
          <w:color w:val="000000"/>
          <w:spacing w:val="10"/>
          <w:sz w:val="24"/>
          <w:szCs w:val="24"/>
          <w:lang w:val="bg-BG"/>
        </w:rPr>
        <w:t xml:space="preserve"> </w:t>
      </w:r>
      <w:r w:rsidRPr="0079084F">
        <w:rPr>
          <w:rFonts w:hint="eastAsia"/>
          <w:b/>
          <w:color w:val="000000"/>
          <w:spacing w:val="10"/>
          <w:sz w:val="24"/>
          <w:szCs w:val="24"/>
          <w:lang w:val="bg-BG"/>
        </w:rPr>
        <w:t>риска</w:t>
      </w:r>
      <w:r w:rsidRPr="0079084F">
        <w:rPr>
          <w:i/>
          <w:color w:val="000000"/>
          <w:sz w:val="24"/>
          <w:lang w:val="bg-BG"/>
        </w:rPr>
        <w:t xml:space="preserve"> </w:t>
      </w:r>
    </w:p>
    <w:p w:rsidR="00363B68" w:rsidRPr="0079084F" w:rsidRDefault="00363B68" w:rsidP="00C8612A">
      <w:pPr>
        <w:keepNext/>
        <w:widowControl w:val="0"/>
        <w:shd w:val="clear" w:color="auto" w:fill="FFFFFF"/>
        <w:tabs>
          <w:tab w:val="left" w:pos="851"/>
        </w:tabs>
        <w:spacing w:after="120"/>
        <w:ind w:left="284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025CE6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за предоставяне на информация </w:t>
      </w:r>
      <w:r w:rsidR="00025CE6" w:rsidRPr="0079084F">
        <w:rPr>
          <w:b/>
          <w:i/>
          <w:color w:val="000000"/>
          <w:lang w:val="bg-BG"/>
        </w:rPr>
        <w:t xml:space="preserve">по </w:t>
      </w:r>
      <w:r w:rsidRPr="0079084F">
        <w:rPr>
          <w:b/>
          <w:i/>
          <w:color w:val="000000"/>
          <w:lang w:val="bg-BG"/>
        </w:rPr>
        <w:t xml:space="preserve">член 101, буква д) </w:t>
      </w:r>
      <w:r w:rsidRPr="0079084F">
        <w:rPr>
          <w:i/>
          <w:color w:val="000000"/>
          <w:lang w:val="bg-BG"/>
        </w:rPr>
        <w:t>от Регламент (ЕС) № 1303/2013</w:t>
      </w:r>
      <w:r w:rsidR="0004083A" w:rsidRPr="0079084F">
        <w:rPr>
          <w:i/>
          <w:color w:val="000000"/>
          <w:lang w:val="bg-BG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DA21F0" w:rsidP="006759AB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Финансовия 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анализ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, включително основните пока</w:t>
            </w:r>
            <w:r w:rsidR="00994FAA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затели от финансовия анализ: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финансовата норма на възвръщаемост (ФНВ) на инвестицията и финансовата нетна настояща стойност (ФННС), изчислението на нетните приходи и резултата от него, тарифната стратегия и достъпността (ако е приложимо), и финансовата жизнеспособност (устойчивост) 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DF322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AE783F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</w:t>
            </w:r>
            <w:r w:rsidR="00AE783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3</w:t>
            </w:r>
            <w:r w:rsidR="00965BD9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.</w:t>
            </w:r>
            <w:r w:rsidR="00AE783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4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.</w:t>
            </w:r>
            <w:r w:rsidR="006D3D53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>от Насоките по ОПТТИ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)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363B68">
      <w:pPr>
        <w:autoSpaceDE w:val="0"/>
        <w:autoSpaceDN w:val="0"/>
        <w:adjustRightInd w:val="0"/>
        <w:rPr>
          <w:rFonts w:asciiTheme="minorHAnsi" w:eastAsia="EUAlbertina-Regu-Identity-H" w:hAnsiTheme="minorHAnsi" w:cs="EUAlbertina-Regu-Identity-H"/>
          <w:sz w:val="19"/>
          <w:szCs w:val="19"/>
          <w:lang w:val="bg-BG" w:eastAsia="bg-BG"/>
        </w:rPr>
      </w:pPr>
    </w:p>
    <w:p w:rsidR="00363B68" w:rsidRPr="0079084F" w:rsidRDefault="00363B68" w:rsidP="00DA7D5C">
      <w:pPr>
        <w:tabs>
          <w:tab w:val="left" w:pos="142"/>
          <w:tab w:val="left" w:pos="1701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pacing w:val="10"/>
          <w:lang w:val="bg-BG" w:eastAsia="cs-CZ"/>
        </w:rPr>
      </w:pPr>
      <w:r w:rsidRPr="0079084F">
        <w:rPr>
          <w:rFonts w:hint="eastAsia"/>
          <w:spacing w:val="10"/>
          <w:lang w:val="bg-BG" w:eastAsia="cs-CZ"/>
        </w:rPr>
        <w:t>Ясно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посочете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дали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проектът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придържа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методологията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анализ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разходите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ползите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така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както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описана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в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приложение</w:t>
      </w:r>
      <w:r w:rsidRPr="0079084F">
        <w:rPr>
          <w:spacing w:val="10"/>
          <w:lang w:val="bg-BG" w:eastAsia="cs-CZ"/>
        </w:rPr>
        <w:t xml:space="preserve"> III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Регламент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изпълнение</w:t>
      </w:r>
      <w:r w:rsidRPr="0079084F">
        <w:rPr>
          <w:spacing w:val="10"/>
          <w:lang w:val="bg-BG" w:eastAsia="cs-CZ"/>
        </w:rPr>
        <w:t xml:space="preserve"> (</w:t>
      </w:r>
      <w:r w:rsidRPr="0079084F">
        <w:rPr>
          <w:rFonts w:hint="eastAsia"/>
          <w:spacing w:val="10"/>
          <w:lang w:val="bg-BG" w:eastAsia="cs-CZ"/>
        </w:rPr>
        <w:t>ЕС</w:t>
      </w:r>
      <w:r w:rsidRPr="0079084F">
        <w:rPr>
          <w:spacing w:val="10"/>
          <w:lang w:val="bg-BG" w:eastAsia="cs-CZ"/>
        </w:rPr>
        <w:t xml:space="preserve">) </w:t>
      </w:r>
      <w:r w:rsidRPr="0079084F">
        <w:rPr>
          <w:rFonts w:hint="eastAsia"/>
          <w:spacing w:val="10"/>
          <w:lang w:val="bg-BG" w:eastAsia="cs-CZ"/>
        </w:rPr>
        <w:t>№</w:t>
      </w:r>
      <w:r w:rsidRPr="0079084F">
        <w:rPr>
          <w:spacing w:val="10"/>
          <w:lang w:val="bg-BG" w:eastAsia="cs-CZ"/>
        </w:rPr>
        <w:t xml:space="preserve"> </w:t>
      </w:r>
      <w:r w:rsidR="00B9431A" w:rsidRPr="0079084F">
        <w:rPr>
          <w:spacing w:val="10"/>
          <w:lang w:val="bg-BG" w:eastAsia="cs-CZ"/>
        </w:rPr>
        <w:t>207</w:t>
      </w:r>
      <w:r w:rsidRPr="0079084F">
        <w:rPr>
          <w:spacing w:val="10"/>
          <w:lang w:val="bg-BG" w:eastAsia="cs-CZ"/>
        </w:rPr>
        <w:t>/201</w:t>
      </w:r>
      <w:r w:rsidR="00B9431A" w:rsidRPr="0079084F">
        <w:rPr>
          <w:spacing w:val="10"/>
          <w:lang w:val="bg-BG" w:eastAsia="cs-CZ"/>
        </w:rPr>
        <w:t>5 г.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Комисията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свързаните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нея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насоки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метода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изчисляване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нетните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приходи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предвиден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в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член</w:t>
      </w:r>
      <w:r w:rsidRPr="0079084F">
        <w:rPr>
          <w:spacing w:val="10"/>
          <w:lang w:val="bg-BG" w:eastAsia="cs-CZ"/>
        </w:rPr>
        <w:t xml:space="preserve"> 61 </w:t>
      </w:r>
      <w:r w:rsidRPr="0079084F">
        <w:rPr>
          <w:rFonts w:hint="eastAsia"/>
          <w:spacing w:val="10"/>
          <w:lang w:val="bg-BG" w:eastAsia="cs-CZ"/>
        </w:rPr>
        <w:t>от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Регламент</w:t>
      </w:r>
      <w:r w:rsidRPr="0079084F">
        <w:rPr>
          <w:spacing w:val="10"/>
          <w:lang w:val="bg-BG" w:eastAsia="cs-CZ"/>
        </w:rPr>
        <w:t xml:space="preserve"> (</w:t>
      </w:r>
      <w:r w:rsidRPr="0079084F">
        <w:rPr>
          <w:rFonts w:hint="eastAsia"/>
          <w:spacing w:val="10"/>
          <w:lang w:val="bg-BG" w:eastAsia="cs-CZ"/>
        </w:rPr>
        <w:t>ЕС</w:t>
      </w:r>
      <w:r w:rsidRPr="0079084F">
        <w:rPr>
          <w:spacing w:val="10"/>
          <w:lang w:val="bg-BG" w:eastAsia="cs-CZ"/>
        </w:rPr>
        <w:t xml:space="preserve">) </w:t>
      </w:r>
      <w:r w:rsidRPr="0079084F">
        <w:rPr>
          <w:rFonts w:hint="eastAsia"/>
          <w:spacing w:val="10"/>
          <w:lang w:val="bg-BG" w:eastAsia="cs-CZ"/>
        </w:rPr>
        <w:t>№</w:t>
      </w:r>
      <w:r w:rsidRPr="0079084F">
        <w:rPr>
          <w:spacing w:val="10"/>
          <w:lang w:val="bg-BG" w:eastAsia="cs-CZ"/>
        </w:rPr>
        <w:t xml:space="preserve"> 1303/2013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в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членове</w:t>
      </w:r>
      <w:r w:rsidRPr="0079084F">
        <w:rPr>
          <w:spacing w:val="10"/>
          <w:lang w:val="bg-BG" w:eastAsia="cs-CZ"/>
        </w:rPr>
        <w:t xml:space="preserve"> 15</w:t>
      </w:r>
      <w:r w:rsidRPr="0079084F">
        <w:rPr>
          <w:rFonts w:hint="eastAsia"/>
          <w:spacing w:val="10"/>
          <w:lang w:val="bg-BG" w:eastAsia="cs-CZ"/>
        </w:rPr>
        <w:t>—</w:t>
      </w:r>
      <w:r w:rsidRPr="0079084F">
        <w:rPr>
          <w:spacing w:val="10"/>
          <w:lang w:val="bg-BG" w:eastAsia="cs-CZ"/>
        </w:rPr>
        <w:t xml:space="preserve">19 </w:t>
      </w:r>
      <w:r w:rsidRPr="0079084F">
        <w:rPr>
          <w:rFonts w:hint="eastAsia"/>
          <w:spacing w:val="10"/>
          <w:lang w:val="bg-BG" w:eastAsia="cs-CZ"/>
        </w:rPr>
        <w:t>от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Делегиран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регламент</w:t>
      </w:r>
      <w:r w:rsidRPr="0079084F">
        <w:rPr>
          <w:spacing w:val="10"/>
          <w:lang w:val="bg-BG" w:eastAsia="cs-CZ"/>
        </w:rPr>
        <w:t xml:space="preserve"> (</w:t>
      </w:r>
      <w:r w:rsidRPr="0079084F">
        <w:rPr>
          <w:rFonts w:hint="eastAsia"/>
          <w:spacing w:val="10"/>
          <w:lang w:val="bg-BG" w:eastAsia="cs-CZ"/>
        </w:rPr>
        <w:t>ЕС</w:t>
      </w:r>
      <w:r w:rsidRPr="0079084F">
        <w:rPr>
          <w:spacing w:val="10"/>
          <w:lang w:val="bg-BG" w:eastAsia="cs-CZ"/>
        </w:rPr>
        <w:t xml:space="preserve">) </w:t>
      </w:r>
      <w:r w:rsidRPr="0079084F">
        <w:rPr>
          <w:rFonts w:hint="eastAsia"/>
          <w:spacing w:val="10"/>
          <w:lang w:val="bg-BG" w:eastAsia="cs-CZ"/>
        </w:rPr>
        <w:t>№</w:t>
      </w:r>
      <w:r w:rsidRPr="0079084F">
        <w:rPr>
          <w:spacing w:val="10"/>
          <w:lang w:val="bg-BG" w:eastAsia="cs-CZ"/>
        </w:rPr>
        <w:t xml:space="preserve"> 480/2014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Комисията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аргументирайте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това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твърдение</w:t>
      </w:r>
      <w:r w:rsidRPr="0079084F">
        <w:rPr>
          <w:spacing w:val="10"/>
          <w:lang w:val="bg-BG" w:eastAsia="cs-CZ"/>
        </w:rPr>
        <w:t>.</w:t>
      </w:r>
    </w:p>
    <w:p w:rsidR="00363B68" w:rsidRPr="0079084F" w:rsidRDefault="00363B68" w:rsidP="00363B68">
      <w:pPr>
        <w:autoSpaceDE w:val="0"/>
        <w:autoSpaceDN w:val="0"/>
        <w:adjustRightInd w:val="0"/>
        <w:rPr>
          <w:rFonts w:asciiTheme="minorHAnsi" w:eastAsia="EUAlbertina-Regu-Identity-H" w:hAnsiTheme="minorHAnsi" w:cs="EUAlbertina-Regu-Identity-H"/>
          <w:sz w:val="19"/>
          <w:szCs w:val="19"/>
          <w:lang w:val="bg-BG" w:eastAsia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DA21F0" w:rsidP="00967F4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Икономическия 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анализ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включително основните показатели от икономическия анализ, т.е. </w:t>
            </w:r>
            <w:r w:rsidR="0010791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икономическата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D6736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вътрешна 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норма на възвръщаемост (</w:t>
            </w:r>
            <w:r w:rsidR="0010791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="00D6736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В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НВ) на инвестицията и </w:t>
            </w:r>
            <w:r w:rsidR="0010791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икономическата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нетна настояща стойност (</w:t>
            </w:r>
            <w:r w:rsidR="0010791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И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ННС), и основните икономически ползи и разходи 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DF322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03.4</w:t>
            </w:r>
            <w:r w:rsidR="006D3D53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 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>от Насоките по ОПТТИ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)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8706DE" w:rsidP="00363B68">
            <w:pPr>
              <w:spacing w:before="120"/>
              <w:jc w:val="center"/>
              <w:rPr>
                <w:rFonts w:asciiTheme="minorHAnsi" w:eastAsia="EUAlbertina-Regu-Identity-H" w:hAnsiTheme="minorHAnsi" w:cs="EUAlbertina-Regu-Identity-H"/>
                <w:sz w:val="17"/>
                <w:szCs w:val="17"/>
                <w:lang w:val="bg-BG" w:eastAsia="bg-BG"/>
              </w:rPr>
            </w:pPr>
            <w:r w:rsidRPr="0079084F">
              <w:rPr>
                <w:rFonts w:asciiTheme="minorHAnsi" w:eastAsia="EUAlbertina-Regu-Identity-H" w:hAnsiTheme="minorHAnsi" w:cs="EUAlbertina-Regu-Identity-H"/>
                <w:sz w:val="17"/>
                <w:szCs w:val="17"/>
                <w:lang w:val="bg-BG" w:eastAsia="bg-BG"/>
              </w:rPr>
              <w:t>4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DA7D5C">
      <w:pPr>
        <w:tabs>
          <w:tab w:val="left" w:pos="142"/>
          <w:tab w:val="left" w:pos="1701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rPr>
          <w:spacing w:val="10"/>
          <w:lang w:val="bg-BG" w:eastAsia="cs-CZ"/>
        </w:rPr>
      </w:pPr>
    </w:p>
    <w:p w:rsidR="00666535" w:rsidRPr="0079084F" w:rsidRDefault="00D6736B" w:rsidP="00363B68">
      <w:pPr>
        <w:autoSpaceDE w:val="0"/>
        <w:autoSpaceDN w:val="0"/>
        <w:adjustRightInd w:val="0"/>
        <w:jc w:val="both"/>
        <w:rPr>
          <w:spacing w:val="10"/>
          <w:lang w:val="bg-BG" w:eastAsia="cs-CZ"/>
        </w:rPr>
      </w:pPr>
      <w:r w:rsidRPr="0079084F">
        <w:rPr>
          <w:spacing w:val="10"/>
          <w:lang w:val="bg-BG" w:eastAsia="cs-CZ"/>
        </w:rPr>
        <w:t xml:space="preserve">За да се дефинира, че даден проект допринася за повече ползи за обществото, отколкото са разходите за неговата реализация </w:t>
      </w:r>
      <w:r w:rsidR="00666535" w:rsidRPr="0079084F">
        <w:rPr>
          <w:spacing w:val="10"/>
          <w:lang w:val="bg-BG" w:eastAsia="cs-CZ"/>
        </w:rPr>
        <w:t>ИННС на проект</w:t>
      </w:r>
      <w:r w:rsidRPr="0079084F">
        <w:rPr>
          <w:spacing w:val="10"/>
          <w:lang w:val="bg-BG" w:eastAsia="cs-CZ"/>
        </w:rPr>
        <w:t>а</w:t>
      </w:r>
      <w:r w:rsidR="00666535" w:rsidRPr="0079084F">
        <w:rPr>
          <w:spacing w:val="10"/>
          <w:lang w:val="bg-BG" w:eastAsia="cs-CZ"/>
        </w:rPr>
        <w:t xml:space="preserve"> трябва да е &gt; 0, а ИВНВ трябва да е &gt; 5,5 %, </w:t>
      </w:r>
    </w:p>
    <w:p w:rsidR="00D6736B" w:rsidRPr="0079084F" w:rsidRDefault="00D6736B" w:rsidP="00363B68">
      <w:pPr>
        <w:autoSpaceDE w:val="0"/>
        <w:autoSpaceDN w:val="0"/>
        <w:adjustRightInd w:val="0"/>
        <w:jc w:val="both"/>
        <w:rPr>
          <w:spacing w:val="10"/>
          <w:lang w:val="bg-BG" w:eastAsia="cs-CZ"/>
        </w:rPr>
      </w:pPr>
    </w:p>
    <w:p w:rsidR="00363B68" w:rsidRPr="0079084F" w:rsidRDefault="00363B68" w:rsidP="00363B68">
      <w:pPr>
        <w:autoSpaceDE w:val="0"/>
        <w:autoSpaceDN w:val="0"/>
        <w:adjustRightInd w:val="0"/>
        <w:jc w:val="both"/>
        <w:rPr>
          <w:spacing w:val="10"/>
          <w:lang w:val="bg-BG" w:eastAsia="cs-CZ"/>
        </w:rPr>
      </w:pPr>
      <w:r w:rsidRPr="0079084F">
        <w:rPr>
          <w:rFonts w:hint="eastAsia"/>
          <w:spacing w:val="10"/>
          <w:lang w:val="bg-BG" w:eastAsia="cs-CZ"/>
        </w:rPr>
        <w:t>Ясно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посочете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дали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проектът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придържа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методологията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 </w:t>
      </w:r>
      <w:r w:rsidRPr="0079084F">
        <w:rPr>
          <w:rFonts w:hint="eastAsia"/>
          <w:spacing w:val="10"/>
          <w:lang w:val="bg-BG" w:eastAsia="cs-CZ"/>
        </w:rPr>
        <w:t>анализ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разходите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ползите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така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както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описана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в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приложение</w:t>
      </w:r>
      <w:r w:rsidRPr="0079084F">
        <w:rPr>
          <w:spacing w:val="10"/>
          <w:lang w:val="bg-BG" w:eastAsia="cs-CZ"/>
        </w:rPr>
        <w:t xml:space="preserve"> III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Регламент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изпълнение</w:t>
      </w:r>
      <w:r w:rsidRPr="0079084F">
        <w:rPr>
          <w:spacing w:val="10"/>
          <w:lang w:val="bg-BG" w:eastAsia="cs-CZ"/>
        </w:rPr>
        <w:t xml:space="preserve"> (</w:t>
      </w:r>
      <w:r w:rsidRPr="0079084F">
        <w:rPr>
          <w:rFonts w:hint="eastAsia"/>
          <w:spacing w:val="10"/>
          <w:lang w:val="bg-BG" w:eastAsia="cs-CZ"/>
        </w:rPr>
        <w:t>ЕС</w:t>
      </w:r>
      <w:r w:rsidRPr="0079084F">
        <w:rPr>
          <w:spacing w:val="10"/>
          <w:lang w:val="bg-BG" w:eastAsia="cs-CZ"/>
        </w:rPr>
        <w:t xml:space="preserve">) </w:t>
      </w:r>
      <w:r w:rsidRPr="0079084F">
        <w:rPr>
          <w:rFonts w:hint="eastAsia"/>
          <w:spacing w:val="10"/>
          <w:lang w:val="bg-BG" w:eastAsia="cs-CZ"/>
        </w:rPr>
        <w:t>№</w:t>
      </w:r>
      <w:r w:rsidRPr="0079084F">
        <w:rPr>
          <w:spacing w:val="10"/>
          <w:lang w:val="bg-BG" w:eastAsia="cs-CZ"/>
        </w:rPr>
        <w:t xml:space="preserve"> </w:t>
      </w:r>
      <w:r w:rsidR="00DF335F" w:rsidRPr="0079084F">
        <w:rPr>
          <w:spacing w:val="10"/>
          <w:lang w:val="bg-BG" w:eastAsia="cs-CZ"/>
        </w:rPr>
        <w:t>207</w:t>
      </w:r>
      <w:r w:rsidRPr="0079084F">
        <w:rPr>
          <w:spacing w:val="10"/>
          <w:lang w:val="bg-BG" w:eastAsia="cs-CZ"/>
        </w:rPr>
        <w:t>/201</w:t>
      </w:r>
      <w:r w:rsidR="00DF335F" w:rsidRPr="0079084F">
        <w:rPr>
          <w:spacing w:val="10"/>
          <w:lang w:val="bg-BG" w:eastAsia="cs-CZ"/>
        </w:rPr>
        <w:t>5 г.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Комисията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свързаните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нея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насоки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аргументирайте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това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твърдение</w:t>
      </w:r>
      <w:r w:rsidRPr="0079084F">
        <w:rPr>
          <w:spacing w:val="10"/>
          <w:lang w:val="bg-BG" w:eastAsia="cs-CZ"/>
        </w:rPr>
        <w:t xml:space="preserve">. </w:t>
      </w:r>
    </w:p>
    <w:p w:rsidR="00363B68" w:rsidRPr="0079084F" w:rsidRDefault="00363B68" w:rsidP="00363B68">
      <w:pPr>
        <w:autoSpaceDE w:val="0"/>
        <w:autoSpaceDN w:val="0"/>
        <w:adjustRightInd w:val="0"/>
        <w:rPr>
          <w:rFonts w:ascii="EUAlbertina-ReguItal2" w:eastAsia="EUAlbertina-Regu-Identity-H" w:hAnsi="EUAlbertina-ReguItal2" w:cs="EUAlbertina-ReguItal2"/>
          <w:i/>
          <w:iCs/>
          <w:sz w:val="19"/>
          <w:szCs w:val="19"/>
          <w:lang w:val="bg-BG" w:eastAsia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D25A8B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D25A8B" w:rsidRPr="0079084F" w:rsidRDefault="00DA21F0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 </w:t>
            </w:r>
            <w:r w:rsidR="00D25A8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изпълнението на проекта </w:t>
            </w:r>
            <w:r w:rsidR="00305EFA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са</w:t>
            </w:r>
            <w:r w:rsidR="00D25A8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305EFA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създадени</w:t>
            </w:r>
            <w:r w:rsidR="00D25A8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305EFA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предпоставки за </w:t>
            </w:r>
            <w:r w:rsidR="00D25A8B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трудова заетост</w:t>
            </w:r>
            <w:r w:rsidR="00D25A8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по време и след изпълнение на проекта. </w:t>
            </w:r>
          </w:p>
        </w:tc>
      </w:tr>
      <w:tr w:rsidR="00D25A8B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D25A8B" w:rsidRPr="0079084F" w:rsidRDefault="00D25A8B" w:rsidP="008B16B3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25A8B" w:rsidRPr="0079084F" w:rsidRDefault="00EA342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D25A8B" w:rsidRPr="0079084F" w:rsidRDefault="00D25A8B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D25A8B" w:rsidRPr="0079084F" w:rsidTr="00240088">
        <w:tc>
          <w:tcPr>
            <w:tcW w:w="851" w:type="dxa"/>
            <w:vAlign w:val="center"/>
          </w:tcPr>
          <w:p w:rsidR="00D25A8B" w:rsidRPr="0079084F" w:rsidRDefault="00D25A8B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D25A8B" w:rsidRPr="0079084F" w:rsidRDefault="00D25A8B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D25A8B" w:rsidRPr="0079084F" w:rsidRDefault="00D25A8B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25A8B" w:rsidRPr="0079084F" w:rsidTr="00240088">
        <w:tc>
          <w:tcPr>
            <w:tcW w:w="851" w:type="dxa"/>
          </w:tcPr>
          <w:p w:rsidR="00D25A8B" w:rsidRPr="0079084F" w:rsidRDefault="00D25A8B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D25A8B" w:rsidRPr="0079084F" w:rsidRDefault="00D25A8B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D25A8B" w:rsidRPr="0079084F" w:rsidRDefault="00D25A8B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25A8B" w:rsidRPr="0079084F" w:rsidTr="00240088">
        <w:tc>
          <w:tcPr>
            <w:tcW w:w="851" w:type="dxa"/>
          </w:tcPr>
          <w:p w:rsidR="00D25A8B" w:rsidRPr="0079084F" w:rsidRDefault="00D25A8B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D25A8B" w:rsidRPr="0079084F" w:rsidRDefault="00D25A8B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D25A8B" w:rsidRPr="0079084F" w:rsidRDefault="00D25A8B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05EFA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05EFA" w:rsidRPr="0079084F" w:rsidRDefault="00305EFA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DA21F0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изпълнението на проекта </w:t>
            </w:r>
            <w:r w:rsidR="008871CA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са създадени предпоставки за подобряване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на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безопасността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на транспорта. </w:t>
            </w:r>
          </w:p>
        </w:tc>
      </w:tr>
      <w:tr w:rsidR="00305EFA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05EFA" w:rsidRPr="0079084F" w:rsidRDefault="00305EFA" w:rsidP="008B16B3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05EFA" w:rsidRPr="0079084F" w:rsidRDefault="00EA342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05EFA" w:rsidRPr="0079084F" w:rsidRDefault="00305EFA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05EFA" w:rsidRPr="0079084F" w:rsidTr="00240088">
        <w:tc>
          <w:tcPr>
            <w:tcW w:w="851" w:type="dxa"/>
            <w:vAlign w:val="center"/>
          </w:tcPr>
          <w:p w:rsidR="00305EFA" w:rsidRPr="0079084F" w:rsidRDefault="00305EFA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05EFA" w:rsidRPr="0079084F" w:rsidRDefault="00305EFA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05EFA" w:rsidRPr="0079084F" w:rsidRDefault="00305EFA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05EFA" w:rsidRPr="0079084F" w:rsidTr="00240088">
        <w:tc>
          <w:tcPr>
            <w:tcW w:w="851" w:type="dxa"/>
          </w:tcPr>
          <w:p w:rsidR="00305EFA" w:rsidRPr="0079084F" w:rsidRDefault="00305EFA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05EFA" w:rsidRPr="0079084F" w:rsidRDefault="00305EFA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05EFA" w:rsidRPr="0079084F" w:rsidRDefault="00305EFA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05EFA" w:rsidRPr="0079084F" w:rsidTr="00240088">
        <w:tc>
          <w:tcPr>
            <w:tcW w:w="851" w:type="dxa"/>
          </w:tcPr>
          <w:p w:rsidR="00305EFA" w:rsidRPr="0079084F" w:rsidRDefault="00305EFA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05EFA" w:rsidRPr="0079084F" w:rsidRDefault="00305EFA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05EFA" w:rsidRPr="0079084F" w:rsidRDefault="00305EFA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DA21F0" w:rsidP="006D3D53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Оценката 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 риска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включително идентифицираните основни рискове и мерките за смекчаването им 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DF322B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DF322B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03.4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 Насоките по ОПТТИ</w:t>
            </w:r>
            <w:r w:rsidR="00DF322B" w:rsidRPr="006D3D53">
              <w:rPr>
                <w:rFonts w:ascii="Times New Roman" w:eastAsia="EUAlbertina-Regu-Identity-H" w:hAnsi="Times New Roman"/>
                <w:sz w:val="24"/>
                <w:szCs w:val="24"/>
                <w:lang w:eastAsia="bg-BG"/>
              </w:rPr>
              <w:t>)</w:t>
            </w:r>
            <w:r w:rsidR="00363B68" w:rsidRPr="006D3D53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lastRenderedPageBreak/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DA7D5C">
      <w:pPr>
        <w:tabs>
          <w:tab w:val="left" w:pos="142"/>
          <w:tab w:val="left" w:pos="1701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rPr>
          <w:spacing w:val="10"/>
          <w:lang w:val="bg-BG" w:eastAsia="cs-CZ"/>
        </w:rPr>
      </w:pPr>
    </w:p>
    <w:p w:rsidR="00363B68" w:rsidRPr="0079084F" w:rsidRDefault="00363B68" w:rsidP="00363B68">
      <w:pPr>
        <w:autoSpaceDE w:val="0"/>
        <w:autoSpaceDN w:val="0"/>
        <w:adjustRightInd w:val="0"/>
        <w:jc w:val="both"/>
        <w:rPr>
          <w:spacing w:val="10"/>
          <w:lang w:val="bg-BG" w:eastAsia="cs-CZ"/>
        </w:rPr>
      </w:pPr>
      <w:r w:rsidRPr="0079084F">
        <w:rPr>
          <w:rFonts w:hint="eastAsia"/>
          <w:spacing w:val="10"/>
          <w:lang w:val="bg-BG" w:eastAsia="cs-CZ"/>
        </w:rPr>
        <w:t>Ясно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посочете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дали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проектът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придържа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методологията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 </w:t>
      </w:r>
      <w:r w:rsidRPr="0079084F">
        <w:rPr>
          <w:rFonts w:hint="eastAsia"/>
          <w:spacing w:val="10"/>
          <w:lang w:val="bg-BG" w:eastAsia="cs-CZ"/>
        </w:rPr>
        <w:t>анализ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разходите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ползите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така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както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описана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в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приложение</w:t>
      </w:r>
      <w:r w:rsidRPr="0079084F">
        <w:rPr>
          <w:spacing w:val="10"/>
          <w:lang w:val="bg-BG" w:eastAsia="cs-CZ"/>
        </w:rPr>
        <w:t xml:space="preserve"> III </w:t>
      </w:r>
      <w:r w:rsidRPr="0079084F">
        <w:rPr>
          <w:rFonts w:hint="eastAsia"/>
          <w:spacing w:val="10"/>
          <w:lang w:val="bg-BG" w:eastAsia="cs-CZ"/>
        </w:rPr>
        <w:t>към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Регламент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за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изпълнение</w:t>
      </w:r>
      <w:r w:rsidRPr="0079084F">
        <w:rPr>
          <w:spacing w:val="10"/>
          <w:lang w:val="bg-BG" w:eastAsia="cs-CZ"/>
        </w:rPr>
        <w:t xml:space="preserve"> (</w:t>
      </w:r>
      <w:r w:rsidRPr="0079084F">
        <w:rPr>
          <w:rFonts w:hint="eastAsia"/>
          <w:spacing w:val="10"/>
          <w:lang w:val="bg-BG" w:eastAsia="cs-CZ"/>
        </w:rPr>
        <w:t>ЕС</w:t>
      </w:r>
      <w:r w:rsidRPr="0079084F">
        <w:rPr>
          <w:spacing w:val="10"/>
          <w:lang w:val="bg-BG" w:eastAsia="cs-CZ"/>
        </w:rPr>
        <w:t xml:space="preserve">) </w:t>
      </w:r>
      <w:r w:rsidRPr="0079084F">
        <w:rPr>
          <w:rFonts w:hint="eastAsia"/>
          <w:spacing w:val="10"/>
          <w:lang w:val="bg-BG" w:eastAsia="cs-CZ"/>
        </w:rPr>
        <w:t>№</w:t>
      </w:r>
      <w:r w:rsidRPr="0079084F">
        <w:rPr>
          <w:spacing w:val="10"/>
          <w:lang w:val="bg-BG" w:eastAsia="cs-CZ"/>
        </w:rPr>
        <w:t xml:space="preserve"> </w:t>
      </w:r>
      <w:r w:rsidR="00DF335F" w:rsidRPr="0079084F">
        <w:rPr>
          <w:spacing w:val="10"/>
          <w:lang w:val="bg-BG" w:eastAsia="cs-CZ"/>
        </w:rPr>
        <w:t>207</w:t>
      </w:r>
      <w:r w:rsidRPr="0079084F">
        <w:rPr>
          <w:spacing w:val="10"/>
          <w:lang w:val="bg-BG" w:eastAsia="cs-CZ"/>
        </w:rPr>
        <w:t>/201</w:t>
      </w:r>
      <w:r w:rsidR="00DF335F" w:rsidRPr="0079084F">
        <w:rPr>
          <w:spacing w:val="10"/>
          <w:lang w:val="bg-BG" w:eastAsia="cs-CZ"/>
        </w:rPr>
        <w:t>5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Комисията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свързаните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с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нея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насоки</w:t>
      </w:r>
      <w:r w:rsidRPr="0079084F">
        <w:rPr>
          <w:spacing w:val="10"/>
          <w:lang w:val="bg-BG" w:eastAsia="cs-CZ"/>
        </w:rPr>
        <w:t xml:space="preserve">, </w:t>
      </w:r>
      <w:r w:rsidRPr="0079084F">
        <w:rPr>
          <w:rFonts w:hint="eastAsia"/>
          <w:spacing w:val="10"/>
          <w:lang w:val="bg-BG" w:eastAsia="cs-CZ"/>
        </w:rPr>
        <w:t>и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аргументирайте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това</w:t>
      </w:r>
      <w:r w:rsidRPr="0079084F">
        <w:rPr>
          <w:spacing w:val="10"/>
          <w:lang w:val="bg-BG" w:eastAsia="cs-CZ"/>
        </w:rPr>
        <w:t xml:space="preserve"> </w:t>
      </w:r>
      <w:r w:rsidRPr="0079084F">
        <w:rPr>
          <w:rFonts w:hint="eastAsia"/>
          <w:spacing w:val="10"/>
          <w:lang w:val="bg-BG" w:eastAsia="cs-CZ"/>
        </w:rPr>
        <w:t>твърдение</w:t>
      </w:r>
      <w:r w:rsidRPr="0079084F">
        <w:rPr>
          <w:spacing w:val="10"/>
          <w:lang w:val="bg-BG" w:eastAsia="cs-CZ"/>
        </w:rPr>
        <w:t xml:space="preserve">. </w:t>
      </w:r>
    </w:p>
    <w:p w:rsidR="00363B68" w:rsidRPr="0079084F" w:rsidRDefault="00363B68" w:rsidP="00363B68">
      <w:pPr>
        <w:autoSpaceDE w:val="0"/>
        <w:autoSpaceDN w:val="0"/>
        <w:adjustRightInd w:val="0"/>
        <w:rPr>
          <w:rFonts w:ascii="EUAlbertina-ReguItal2" w:eastAsia="EUAlbertina-Regu-Identity-H" w:hAnsi="EUAlbertina-ReguItal2" w:cs="EUAlbertina-ReguItal2"/>
          <w:i/>
          <w:iCs/>
          <w:sz w:val="17"/>
          <w:szCs w:val="17"/>
          <w:lang w:val="bg-BG" w:eastAsia="bg-BG"/>
        </w:rPr>
      </w:pPr>
    </w:p>
    <w:p w:rsidR="00C33F2A" w:rsidRPr="0079084F" w:rsidRDefault="00C33F2A" w:rsidP="00824B7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284" w:hanging="284"/>
        <w:jc w:val="both"/>
        <w:outlineLvl w:val="0"/>
        <w:rPr>
          <w:i/>
          <w:color w:val="000000"/>
          <w:sz w:val="24"/>
          <w:szCs w:val="24"/>
          <w:lang w:val="bg-BG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t>Анализ на въздействието върху околната среда, при отчитане на нуждата от приспособяване към изменението на климата и смекчаване на последиците от него, и устойчивостта на бедствия</w:t>
      </w:r>
      <w:r w:rsidRPr="0079084F">
        <w:rPr>
          <w:i/>
          <w:color w:val="000000"/>
          <w:sz w:val="24"/>
          <w:lang w:val="bg-BG"/>
        </w:rPr>
        <w:t xml:space="preserve"> </w:t>
      </w:r>
    </w:p>
    <w:p w:rsidR="00363B68" w:rsidRPr="0079084F" w:rsidRDefault="00363B68" w:rsidP="00C33F2A">
      <w:pPr>
        <w:keepNext/>
        <w:widowControl w:val="0"/>
        <w:shd w:val="clear" w:color="auto" w:fill="FFFFFF"/>
        <w:tabs>
          <w:tab w:val="left" w:pos="851"/>
        </w:tabs>
        <w:spacing w:after="120"/>
        <w:ind w:left="284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DD34D8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за осигуряване на информация </w:t>
      </w:r>
      <w:r w:rsidR="00DD34D8" w:rsidRPr="0079084F">
        <w:rPr>
          <w:b/>
          <w:i/>
          <w:color w:val="000000"/>
          <w:lang w:val="bg-BG"/>
        </w:rPr>
        <w:t xml:space="preserve">по </w:t>
      </w:r>
      <w:r w:rsidRPr="0079084F">
        <w:rPr>
          <w:b/>
          <w:i/>
          <w:color w:val="000000"/>
          <w:lang w:val="bg-BG"/>
        </w:rPr>
        <w:t>член 101, буква е)</w:t>
      </w:r>
      <w:r w:rsidRPr="0079084F">
        <w:rPr>
          <w:i/>
          <w:color w:val="000000"/>
          <w:lang w:val="bg-BG"/>
        </w:rPr>
        <w:t xml:space="preserve"> от Регламент (ЕС) № 1303/2013</w:t>
      </w:r>
      <w:r w:rsidR="0004083A" w:rsidRPr="0079084F">
        <w:rPr>
          <w:i/>
          <w:color w:val="000000"/>
          <w:lang w:val="bg-BG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621851" w:rsidP="00967F4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Анализа 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на въздействието върху околната среда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9E31C1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9E31C1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03.4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 Насоките по ОПТТИ</w:t>
            </w:r>
            <w:r w:rsidR="009E31C1" w:rsidRPr="006D3D53">
              <w:rPr>
                <w:rFonts w:ascii="Times New Roman" w:eastAsia="EUAlbertina-Regu-Identity-H" w:hAnsi="Times New Roman"/>
                <w:sz w:val="24"/>
                <w:szCs w:val="24"/>
                <w:lang w:eastAsia="bg-BG"/>
              </w:rPr>
              <w:t>)</w:t>
            </w:r>
            <w:r w:rsidR="00363B68" w:rsidRPr="006D3D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363B68" w:rsidP="006D3D53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Информацията, която е от значение и се отнася до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приспособяването към изменението на климата и смекчаването на последиците от него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както и до устойчивостта на бедствия 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9E31C1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9E31C1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</w:t>
            </w:r>
            <w:r w:rsidR="006D3D53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4 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>от Насоките по ОПТТИ</w:t>
            </w:r>
            <w:r w:rsidR="009E31C1" w:rsidRPr="006D3D53">
              <w:rPr>
                <w:rFonts w:ascii="Times New Roman" w:eastAsia="EUAlbertina-Regu-Identity-H" w:hAnsi="Times New Roman"/>
                <w:sz w:val="24"/>
                <w:szCs w:val="24"/>
                <w:lang w:eastAsia="bg-BG"/>
              </w:rPr>
              <w:t>)</w:t>
            </w:r>
            <w:r w:rsidRPr="006D3D53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C41459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C41459" w:rsidRPr="0079084F" w:rsidRDefault="00643487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Информацията, която е от значение и се отнася до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въздействие </w:t>
            </w:r>
            <w:r w:rsidR="00216BB1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върху околната среда</w:t>
            </w:r>
            <w:r w:rsidR="00216BB1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27672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е </w:t>
            </w:r>
            <w:r w:rsidR="00C4145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 съответствие с приложимите мерки </w:t>
            </w:r>
            <w:r w:rsidR="00276726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 условия за предотвратяване, намаляване или възможно най-пълно отстраняване на предполагаемите </w:t>
            </w:r>
            <w:r w:rsidR="00276726" w:rsidRPr="0079084F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неблагоприятни </w:t>
            </w:r>
            <w:r w:rsidR="00BC258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последствия, посочени </w:t>
            </w:r>
            <w:r w:rsidR="00C4145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в Становището по екологична оценка № 10-6/2014 г. на ОПТТИ</w:t>
            </w:r>
            <w:r w:rsidR="00C41459" w:rsidRPr="0079084F">
              <w:rPr>
                <w:vertAlign w:val="superscript"/>
              </w:rPr>
              <w:footnoteReference w:id="8"/>
            </w:r>
            <w:r w:rsidR="00ED10A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на министъра на околната среда и водите</w:t>
            </w:r>
            <w:r w:rsidR="00C41459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</w:p>
        </w:tc>
      </w:tr>
      <w:tr w:rsidR="00C41459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C41459" w:rsidRPr="0079084F" w:rsidRDefault="00C41459" w:rsidP="00C41459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C41459" w:rsidRPr="0079084F" w:rsidRDefault="00EA3427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C41459" w:rsidRPr="0079084F" w:rsidRDefault="00C41459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C41459" w:rsidRPr="0079084F" w:rsidTr="00240088">
        <w:tc>
          <w:tcPr>
            <w:tcW w:w="851" w:type="dxa"/>
            <w:vAlign w:val="center"/>
          </w:tcPr>
          <w:p w:rsidR="00C41459" w:rsidRPr="0079084F" w:rsidRDefault="00C41459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C41459" w:rsidRPr="0079084F" w:rsidRDefault="00C41459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C41459" w:rsidRPr="0079084F" w:rsidRDefault="00C41459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C41459" w:rsidRPr="0079084F" w:rsidTr="00240088">
        <w:tc>
          <w:tcPr>
            <w:tcW w:w="851" w:type="dxa"/>
          </w:tcPr>
          <w:p w:rsidR="00C41459" w:rsidRPr="0079084F" w:rsidRDefault="00C41459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C41459" w:rsidRPr="0079084F" w:rsidRDefault="00C41459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C41459" w:rsidRPr="0079084F" w:rsidRDefault="00C41459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C41459" w:rsidRPr="0079084F" w:rsidTr="00240088">
        <w:tc>
          <w:tcPr>
            <w:tcW w:w="851" w:type="dxa"/>
          </w:tcPr>
          <w:p w:rsidR="00C41459" w:rsidRPr="0079084F" w:rsidRDefault="00C41459" w:rsidP="00C41459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C41459" w:rsidRPr="0079084F" w:rsidRDefault="00C41459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C41459" w:rsidRPr="0079084F" w:rsidRDefault="00C41459" w:rsidP="00C41459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363B68">
      <w:pPr>
        <w:autoSpaceDE w:val="0"/>
        <w:autoSpaceDN w:val="0"/>
        <w:adjustRightInd w:val="0"/>
        <w:rPr>
          <w:rFonts w:ascii="EUAlbertina-ReguItal2" w:eastAsia="EUAlbertina-Regu-Identity-H" w:hAnsi="EUAlbertina-ReguItal2" w:cs="EUAlbertina-ReguItal2"/>
          <w:i/>
          <w:iCs/>
          <w:sz w:val="19"/>
          <w:szCs w:val="19"/>
          <w:lang w:val="bg-BG" w:eastAsia="bg-BG"/>
        </w:rPr>
      </w:pPr>
    </w:p>
    <w:p w:rsidR="00C33F2A" w:rsidRPr="0079084F" w:rsidRDefault="00C33F2A" w:rsidP="00216BB1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426" w:hanging="426"/>
        <w:jc w:val="both"/>
        <w:outlineLvl w:val="0"/>
        <w:rPr>
          <w:i/>
          <w:color w:val="000000"/>
          <w:sz w:val="24"/>
          <w:szCs w:val="24"/>
          <w:lang w:val="bg-BG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t>Целите на проекта и неговата съгласуваност с ОПТТИ</w:t>
      </w:r>
      <w:r w:rsidRPr="0079084F">
        <w:rPr>
          <w:i/>
          <w:color w:val="000000"/>
          <w:sz w:val="24"/>
          <w:lang w:val="bg-BG"/>
        </w:rPr>
        <w:t xml:space="preserve"> </w:t>
      </w:r>
    </w:p>
    <w:p w:rsidR="00363B68" w:rsidRPr="0079084F" w:rsidRDefault="00363B68" w:rsidP="00C33F2A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DD34D8" w:rsidRPr="0079084F">
        <w:rPr>
          <w:i/>
          <w:color w:val="000000"/>
          <w:lang w:val="bg-BG"/>
        </w:rPr>
        <w:t>за техническа и финансова оценка във връзка с изискванията</w:t>
      </w:r>
      <w:r w:rsidRPr="0079084F">
        <w:rPr>
          <w:i/>
          <w:color w:val="000000"/>
          <w:lang w:val="bg-BG"/>
        </w:rPr>
        <w:t xml:space="preserve"> за предоставяне на информация по</w:t>
      </w:r>
      <w:r w:rsidRPr="0079084F">
        <w:rPr>
          <w:b/>
          <w:i/>
          <w:color w:val="000000"/>
          <w:lang w:val="bg-BG"/>
        </w:rPr>
        <w:t xml:space="preserve"> </w:t>
      </w:r>
      <w:r w:rsidRPr="0079084F">
        <w:rPr>
          <w:i/>
          <w:color w:val="000000"/>
          <w:lang w:val="bg-BG"/>
        </w:rPr>
        <w:t>член 101, буква ж) от Регламент (ЕС) № 1303/2013</w:t>
      </w:r>
      <w:r w:rsidR="0004083A" w:rsidRPr="0079084F">
        <w:rPr>
          <w:i/>
          <w:color w:val="000000"/>
          <w:lang w:val="bg-BG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363B68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Информацията, която е от значение и се отнася до целите на проекта и неговата съгласуваност с ОПТТИ и съответната приоритетна ос показва по какъв начин се очаква той да допринесе за постигането на </w:t>
            </w:r>
            <w:r w:rsidRPr="007C6007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специфичните цели и резултати</w:t>
            </w:r>
            <w:r w:rsidRPr="007C6007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на съответната приоритетна ос на ОПТТИ и за социално-икономическото развитие на района, обхванат от ОПТТИ, а също така са описани мерките, предприети от </w:t>
            </w:r>
            <w:r w:rsidR="00851DFB" w:rsidRPr="007C6007">
              <w:rPr>
                <w:rFonts w:ascii="Times New Roman" w:hAnsi="Times New Roman"/>
                <w:spacing w:val="10"/>
                <w:sz w:val="24"/>
                <w:szCs w:val="24"/>
              </w:rPr>
              <w:t>бенефициент</w:t>
            </w:r>
            <w:r w:rsidRPr="007C6007">
              <w:rPr>
                <w:rFonts w:ascii="Times New Roman" w:hAnsi="Times New Roman"/>
                <w:spacing w:val="10"/>
                <w:sz w:val="24"/>
                <w:szCs w:val="24"/>
              </w:rPr>
              <w:t>а, които гарантират оптималното използване на инфраструктурата на етапа на експлоатация.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363B68">
      <w:pPr>
        <w:jc w:val="both"/>
        <w:rPr>
          <w:rFonts w:eastAsia="EUAlbertina-Regu-Identity-H"/>
          <w:b/>
          <w:bCs/>
          <w:sz w:val="24"/>
          <w:szCs w:val="24"/>
          <w:lang w:val="bg-BG" w:eastAsia="bg-BG"/>
        </w:rPr>
      </w:pPr>
    </w:p>
    <w:p w:rsidR="0005574A" w:rsidRPr="0079084F" w:rsidRDefault="0005574A" w:rsidP="00824B7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284" w:hanging="284"/>
        <w:jc w:val="both"/>
        <w:outlineLvl w:val="0"/>
        <w:rPr>
          <w:i/>
          <w:color w:val="000000"/>
          <w:sz w:val="24"/>
          <w:szCs w:val="24"/>
          <w:lang w:val="bg-BG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lastRenderedPageBreak/>
        <w:t>Плана за финансиране, уточняващ общия размер на планираните финансови ресурси и планираната подкрепа от фондовете, ЕИБ и всички други източници на финансиране, както и физическите и финансовите показатели за мониторинг на напредъка, при отчитане на идентифицираните рискове</w:t>
      </w:r>
    </w:p>
    <w:p w:rsidR="00363B68" w:rsidRPr="0079084F" w:rsidRDefault="00363B68" w:rsidP="0005574A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DD34D8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</w:t>
      </w:r>
      <w:r w:rsidRPr="0079084F">
        <w:rPr>
          <w:i/>
          <w:color w:val="000000"/>
          <w:lang w:val="bg-BG"/>
        </w:rPr>
        <w:t>за предоставяне на информация по</w:t>
      </w:r>
      <w:r w:rsidRPr="0079084F">
        <w:rPr>
          <w:b/>
          <w:i/>
          <w:color w:val="000000"/>
          <w:lang w:val="bg-BG"/>
        </w:rPr>
        <w:t xml:space="preserve"> </w:t>
      </w:r>
      <w:r w:rsidRPr="0079084F">
        <w:rPr>
          <w:i/>
          <w:color w:val="000000"/>
          <w:lang w:val="bg-BG"/>
        </w:rPr>
        <w:t>член 101, буква з) от Регламент (ЕС) № 1303/2013</w:t>
      </w:r>
      <w:r w:rsidR="0004083A" w:rsidRPr="0079084F">
        <w:rPr>
          <w:i/>
          <w:color w:val="000000"/>
          <w:lang w:val="bg-BG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363B68" w:rsidP="00967F4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Информацията, която е от значение и се отнася до 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финансовия план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, заедно с физическите и финансовите показатели за мониторинг на напредъка, при едновременно отчитане на идентифицираните рискове, както и до изчисляването на приноса на Съюза, включително информацията относно метода на изчисление 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9E31C1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9E31C1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03.4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 Насоките по ОПТТИ</w:t>
            </w:r>
            <w:r w:rsidR="009E31C1" w:rsidRPr="006D3D53">
              <w:rPr>
                <w:rFonts w:ascii="Times New Roman" w:eastAsia="EUAlbertina-Regu-Identity-H" w:hAnsi="Times New Roman"/>
                <w:sz w:val="24"/>
                <w:szCs w:val="24"/>
                <w:lang w:eastAsia="bg-BG"/>
              </w:rPr>
              <w:t>)</w:t>
            </w:r>
            <w:r w:rsidRPr="006D3D53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34657" w:rsidRPr="0079084F" w:rsidTr="008B16B3">
        <w:tc>
          <w:tcPr>
            <w:tcW w:w="9639" w:type="dxa"/>
            <w:gridSpan w:val="3"/>
            <w:shd w:val="clear" w:color="auto" w:fill="C6D9F1"/>
            <w:vAlign w:val="center"/>
          </w:tcPr>
          <w:p w:rsidR="00D34657" w:rsidRPr="0079084F" w:rsidRDefault="00D34657" w:rsidP="00197B05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459"/>
              <w:rPr>
                <w:rFonts w:ascii="Times New Roman" w:hAnsi="Times New Roman"/>
                <w:spacing w:val="10"/>
                <w:sz w:val="24"/>
                <w:szCs w:val="24"/>
                <w:lang w:eastAsia="pl-PL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  <w:lang w:eastAsia="pl-PL"/>
              </w:rPr>
              <w:t>Финансовия план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  <w:lang w:eastAsia="pl-PL"/>
              </w:rPr>
              <w:t xml:space="preserve"> е основан на реалистична програма за физическо изпълнение, разработен е в детайли,  бенефициента </w:t>
            </w:r>
            <w:r w:rsidR="007445DA" w:rsidRPr="0079084F">
              <w:rPr>
                <w:rFonts w:ascii="Times New Roman" w:hAnsi="Times New Roman"/>
                <w:spacing w:val="10"/>
                <w:sz w:val="24"/>
                <w:szCs w:val="24"/>
                <w:lang w:eastAsia="pl-PL"/>
              </w:rPr>
              <w:t xml:space="preserve">е предвидил </w:t>
            </w:r>
            <w:r w:rsidRPr="0079084F">
              <w:rPr>
                <w:rFonts w:ascii="Times New Roman" w:hAnsi="Times New Roman"/>
                <w:spacing w:val="10"/>
                <w:sz w:val="24"/>
                <w:szCs w:val="24"/>
                <w:lang w:eastAsia="pl-PL"/>
              </w:rPr>
              <w:t>приемливи източници за финансиране на недопустими разходи, собствено съ-финаниране и за управление на проекта</w:t>
            </w:r>
            <w:r w:rsidR="009C44BE" w:rsidRPr="0079084F">
              <w:rPr>
                <w:rFonts w:ascii="Times New Roman" w:hAnsi="Times New Roman"/>
                <w:spacing w:val="10"/>
                <w:sz w:val="24"/>
                <w:szCs w:val="24"/>
                <w:lang w:eastAsia="pl-PL"/>
              </w:rPr>
              <w:t>:</w:t>
            </w:r>
          </w:p>
        </w:tc>
      </w:tr>
      <w:tr w:rsidR="00D34657" w:rsidRPr="0079084F" w:rsidTr="008B16B3">
        <w:tc>
          <w:tcPr>
            <w:tcW w:w="851" w:type="dxa"/>
            <w:shd w:val="clear" w:color="auto" w:fill="DBE5F1" w:themeFill="accent1" w:themeFillTint="33"/>
            <w:vAlign w:val="center"/>
          </w:tcPr>
          <w:p w:rsidR="00D34657" w:rsidRPr="0079084F" w:rsidRDefault="00D34657" w:rsidP="008B16B3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D34657" w:rsidRPr="0079084F" w:rsidRDefault="00EA342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D34657" w:rsidRPr="0079084F" w:rsidRDefault="00D3465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D34657" w:rsidRPr="0079084F" w:rsidTr="008B16B3">
        <w:tc>
          <w:tcPr>
            <w:tcW w:w="851" w:type="dxa"/>
            <w:vAlign w:val="center"/>
          </w:tcPr>
          <w:p w:rsidR="00D34657" w:rsidRPr="0079084F" w:rsidRDefault="00D3465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D34657" w:rsidRPr="0079084F" w:rsidRDefault="00D3465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D34657" w:rsidRPr="0079084F" w:rsidRDefault="00D34657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34657" w:rsidRPr="0079084F" w:rsidTr="008B16B3">
        <w:tc>
          <w:tcPr>
            <w:tcW w:w="851" w:type="dxa"/>
          </w:tcPr>
          <w:p w:rsidR="00D34657" w:rsidRPr="0079084F" w:rsidRDefault="00D3465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D34657" w:rsidRPr="0079084F" w:rsidRDefault="00D34657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D34657" w:rsidRPr="0079084F" w:rsidRDefault="00D34657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D34657" w:rsidRPr="0079084F" w:rsidTr="008B16B3">
        <w:tc>
          <w:tcPr>
            <w:tcW w:w="851" w:type="dxa"/>
          </w:tcPr>
          <w:p w:rsidR="00D34657" w:rsidRPr="0079084F" w:rsidRDefault="00D34657" w:rsidP="008B16B3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D34657" w:rsidRPr="0079084F" w:rsidRDefault="00D34657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D34657" w:rsidRPr="0079084F" w:rsidRDefault="00D34657" w:rsidP="008B16B3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D34657" w:rsidRPr="0079084F" w:rsidRDefault="00D34657" w:rsidP="00363B68">
      <w:pPr>
        <w:autoSpaceDE w:val="0"/>
        <w:autoSpaceDN w:val="0"/>
        <w:adjustRightInd w:val="0"/>
        <w:rPr>
          <w:rFonts w:asciiTheme="minorHAnsi" w:eastAsia="EUAlbertina-Regu-Identity-H" w:hAnsiTheme="minorHAnsi" w:cs="EUAlbertina-ReguItal2"/>
          <w:i/>
          <w:iCs/>
          <w:sz w:val="17"/>
          <w:szCs w:val="17"/>
          <w:lang w:val="en-US" w:eastAsia="bg-BG"/>
        </w:rPr>
      </w:pPr>
    </w:p>
    <w:p w:rsidR="0005574A" w:rsidRPr="0079084F" w:rsidRDefault="0005574A" w:rsidP="00824B7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pacing w:after="120"/>
        <w:ind w:left="284" w:hanging="284"/>
        <w:jc w:val="both"/>
        <w:outlineLvl w:val="0"/>
        <w:rPr>
          <w:i/>
          <w:color w:val="000000"/>
          <w:sz w:val="24"/>
          <w:szCs w:val="24"/>
          <w:lang w:val="bg-BG"/>
        </w:rPr>
      </w:pPr>
      <w:r w:rsidRPr="0079084F">
        <w:rPr>
          <w:b/>
          <w:color w:val="000000"/>
          <w:spacing w:val="10"/>
          <w:sz w:val="24"/>
          <w:szCs w:val="24"/>
          <w:lang w:val="bg-BG"/>
        </w:rPr>
        <w:t>График за изпълнението на проекта</w:t>
      </w:r>
    </w:p>
    <w:p w:rsidR="00363B68" w:rsidRPr="0079084F" w:rsidRDefault="00363B68" w:rsidP="0005574A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i/>
          <w:color w:val="000000"/>
          <w:lang w:val="bg-BG"/>
        </w:rPr>
      </w:pPr>
      <w:r w:rsidRPr="0079084F">
        <w:rPr>
          <w:i/>
          <w:color w:val="000000"/>
          <w:lang w:val="bg-BG"/>
        </w:rPr>
        <w:t xml:space="preserve">Критерии </w:t>
      </w:r>
      <w:r w:rsidR="00DD34D8" w:rsidRPr="0079084F">
        <w:rPr>
          <w:i/>
          <w:color w:val="000000"/>
          <w:lang w:val="bg-BG"/>
        </w:rPr>
        <w:t xml:space="preserve">за техническа и финансова оценка във връзка с изискванията </w:t>
      </w:r>
      <w:r w:rsidRPr="0079084F">
        <w:rPr>
          <w:i/>
          <w:color w:val="000000"/>
          <w:lang w:val="bg-BG"/>
        </w:rPr>
        <w:t>за предоставяне на информация по</w:t>
      </w:r>
      <w:r w:rsidRPr="0079084F">
        <w:rPr>
          <w:b/>
          <w:i/>
          <w:color w:val="000000"/>
          <w:lang w:val="bg-BG"/>
        </w:rPr>
        <w:t xml:space="preserve"> член 101, буква и)</w:t>
      </w:r>
      <w:r w:rsidRPr="0079084F">
        <w:rPr>
          <w:i/>
          <w:color w:val="000000"/>
          <w:lang w:val="bg-BG"/>
        </w:rPr>
        <w:t xml:space="preserve"> от Регламент (ЕС) № 1303/2013</w:t>
      </w:r>
      <w:r w:rsidR="0004083A" w:rsidRPr="0079084F">
        <w:rPr>
          <w:i/>
          <w:color w:val="000000"/>
          <w:lang w:val="bg-BG"/>
        </w:rPr>
        <w:t xml:space="preserve"> г.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6945"/>
      </w:tblGrid>
      <w:tr w:rsidR="00363B68" w:rsidRPr="0079084F" w:rsidTr="00240088">
        <w:tc>
          <w:tcPr>
            <w:tcW w:w="9639" w:type="dxa"/>
            <w:gridSpan w:val="3"/>
            <w:shd w:val="clear" w:color="auto" w:fill="C6D9F1"/>
            <w:vAlign w:val="center"/>
          </w:tcPr>
          <w:p w:rsidR="00363B68" w:rsidRPr="0079084F" w:rsidRDefault="00EC4F76" w:rsidP="00967F42">
            <w:pPr>
              <w:pStyle w:val="ListParagraph"/>
              <w:numPr>
                <w:ilvl w:val="0"/>
                <w:numId w:val="15"/>
              </w:numPr>
              <w:tabs>
                <w:tab w:val="left" w:pos="-284"/>
              </w:tabs>
              <w:spacing w:before="120" w:line="240" w:lineRule="exact"/>
              <w:ind w:left="318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Г</w:t>
            </w:r>
            <w:r w:rsidR="00363B68"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рафика за изпълнението на проект</w:t>
            </w:r>
            <w:r w:rsidRPr="0079084F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а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(или на съответния етап от проекта, в 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случай че изпълнението е по-дълго от програмния период), включително обществените поръчки </w:t>
            </w:r>
            <w:r w:rsidR="009C44BE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е надежден и осъществим при отчитане на съответните рискове и </w:t>
            </w:r>
            <w:r w:rsidR="00363B68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отговаря на съответните </w:t>
            </w:r>
            <w:r w:rsidR="00603682" w:rsidRPr="0079084F">
              <w:rPr>
                <w:rFonts w:ascii="Times New Roman" w:hAnsi="Times New Roman"/>
                <w:spacing w:val="10"/>
                <w:sz w:val="24"/>
                <w:szCs w:val="24"/>
              </w:rPr>
              <w:t>критерии за осигуряване на информация за инвестиционни/ инфраструктурни проекти</w:t>
            </w:r>
            <w:r w:rsidR="009E31C1" w:rsidRPr="0079084F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(</w:t>
            </w:r>
            <w:r w:rsidR="009E31C1" w:rsidRPr="0079084F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 xml:space="preserve">Приложение № </w:t>
            </w:r>
            <w:r w:rsidR="0065457E">
              <w:rPr>
                <w:rFonts w:ascii="Times New Roman" w:eastAsia="EUAlbertina-Regu-Identity-H" w:hAnsi="Times New Roman"/>
                <w:b/>
                <w:i/>
                <w:sz w:val="24"/>
                <w:szCs w:val="24"/>
                <w:lang w:eastAsia="bg-BG"/>
              </w:rPr>
              <w:t>03.4</w:t>
            </w:r>
            <w:r w:rsidR="006D3D53" w:rsidRPr="006D3D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от Насоките по ОПТТИ</w:t>
            </w:r>
            <w:r w:rsidR="009E31C1" w:rsidRPr="006D3D53">
              <w:rPr>
                <w:rFonts w:ascii="Times New Roman" w:eastAsia="EUAlbertina-Regu-Identity-H" w:hAnsi="Times New Roman"/>
                <w:sz w:val="24"/>
                <w:szCs w:val="24"/>
                <w:lang w:eastAsia="bg-BG"/>
              </w:rPr>
              <w:t>)</w:t>
            </w:r>
            <w:r w:rsidR="00363B68" w:rsidRPr="006D3D5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. </w:t>
            </w:r>
          </w:p>
        </w:tc>
      </w:tr>
      <w:tr w:rsidR="00363B68" w:rsidRPr="0079084F" w:rsidTr="00240088">
        <w:tc>
          <w:tcPr>
            <w:tcW w:w="851" w:type="dxa"/>
            <w:shd w:val="clear" w:color="auto" w:fill="DBE5F1" w:themeFill="accent1" w:themeFillTint="33"/>
            <w:vAlign w:val="center"/>
          </w:tcPr>
          <w:p w:rsidR="00363B68" w:rsidRPr="0079084F" w:rsidRDefault="00363B68" w:rsidP="00363B68">
            <w:pPr>
              <w:spacing w:before="120"/>
              <w:jc w:val="center"/>
              <w:rPr>
                <w:rFonts w:ascii="EUAlbertina-Regu-Identity-H" w:eastAsia="EUAlbertina-Regu-Identity-H" w:cs="EUAlbertina-Regu-Identity-H"/>
                <w:sz w:val="17"/>
                <w:szCs w:val="17"/>
                <w:lang w:val="bg-BG" w:eastAsia="bg-BG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363B68" w:rsidRPr="0079084F" w:rsidRDefault="00EA3427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Моля, пояснете</w:t>
            </w:r>
          </w:p>
        </w:tc>
      </w:tr>
      <w:tr w:rsidR="00363B68" w:rsidRPr="0079084F" w:rsidTr="00240088">
        <w:tc>
          <w:tcPr>
            <w:tcW w:w="851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ДА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spacing w:val="10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НЕ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  <w:tr w:rsidR="00363B68" w:rsidRPr="0079084F" w:rsidTr="00240088">
        <w:tc>
          <w:tcPr>
            <w:tcW w:w="851" w:type="dxa"/>
          </w:tcPr>
          <w:p w:rsidR="00363B68" w:rsidRPr="0079084F" w:rsidRDefault="00363B68" w:rsidP="00363B68">
            <w:pPr>
              <w:tabs>
                <w:tab w:val="left" w:pos="-284"/>
              </w:tabs>
              <w:spacing w:before="120" w:line="240" w:lineRule="exact"/>
              <w:jc w:val="center"/>
              <w:rPr>
                <w:b/>
                <w:spacing w:val="10"/>
                <w:lang w:val="bg-BG"/>
              </w:rPr>
            </w:pPr>
            <w:r w:rsidRPr="0079084F">
              <w:rPr>
                <w:b/>
                <w:spacing w:val="10"/>
                <w:lang w:val="bg-BG"/>
              </w:rPr>
              <w:t>Н/П</w:t>
            </w:r>
          </w:p>
        </w:tc>
        <w:tc>
          <w:tcPr>
            <w:tcW w:w="1843" w:type="dxa"/>
            <w:vAlign w:val="center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6945" w:type="dxa"/>
          </w:tcPr>
          <w:p w:rsidR="00363B68" w:rsidRPr="0079084F" w:rsidRDefault="00363B68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</w:tr>
    </w:tbl>
    <w:p w:rsidR="00363B68" w:rsidRPr="0079084F" w:rsidRDefault="00363B68" w:rsidP="00363B68">
      <w:pPr>
        <w:autoSpaceDE w:val="0"/>
        <w:autoSpaceDN w:val="0"/>
        <w:adjustRightInd w:val="0"/>
        <w:rPr>
          <w:rFonts w:ascii="EUAlbertina-ReguItal2" w:eastAsia="EUAlbertina-Regu-Identity-H" w:hAnsi="EUAlbertina-ReguItal2" w:cs="EUAlbertina-ReguItal2"/>
          <w:i/>
          <w:iCs/>
          <w:sz w:val="19"/>
          <w:szCs w:val="19"/>
          <w:lang w:val="bg-BG" w:eastAsia="bg-BG"/>
        </w:rPr>
      </w:pPr>
    </w:p>
    <w:p w:rsidR="0004083A" w:rsidRPr="0079084F" w:rsidRDefault="00AD4D2B" w:rsidP="00AD4D2B">
      <w:pPr>
        <w:keepNext/>
        <w:widowControl w:val="0"/>
        <w:shd w:val="clear" w:color="auto" w:fill="FFFFFF"/>
        <w:tabs>
          <w:tab w:val="left" w:pos="851"/>
        </w:tabs>
        <w:spacing w:after="120"/>
        <w:jc w:val="both"/>
        <w:outlineLvl w:val="0"/>
        <w:rPr>
          <w:color w:val="000000"/>
          <w:sz w:val="24"/>
          <w:szCs w:val="24"/>
          <w:lang w:val="bg-BG"/>
        </w:rPr>
      </w:pPr>
      <w:r w:rsidRPr="0079084F">
        <w:rPr>
          <w:b/>
          <w:color w:val="000000"/>
          <w:sz w:val="24"/>
          <w:lang w:val="bg-BG"/>
        </w:rPr>
        <w:t>Заключение</w:t>
      </w:r>
      <w:r w:rsidR="00DD34D8" w:rsidRPr="0079084F">
        <w:rPr>
          <w:color w:val="000000"/>
          <w:sz w:val="24"/>
          <w:lang w:val="bg-BG"/>
        </w:rPr>
        <w:t xml:space="preserve"> от извършената техническа и финансова оценка във връзка с изискванията </w:t>
      </w:r>
      <w:r w:rsidR="00DD34D8" w:rsidRPr="0079084F">
        <w:rPr>
          <w:color w:val="000000"/>
          <w:sz w:val="24"/>
          <w:szCs w:val="24"/>
          <w:lang w:val="bg-BG"/>
        </w:rPr>
        <w:t>за предоставяне на информация по</w:t>
      </w:r>
      <w:r w:rsidR="00DD34D8" w:rsidRPr="0079084F">
        <w:rPr>
          <w:b/>
          <w:color w:val="000000"/>
          <w:sz w:val="24"/>
          <w:szCs w:val="24"/>
          <w:lang w:val="bg-BG"/>
        </w:rPr>
        <w:t xml:space="preserve"> </w:t>
      </w:r>
      <w:r w:rsidR="00DD34D8" w:rsidRPr="0079084F">
        <w:rPr>
          <w:color w:val="000000"/>
          <w:sz w:val="24"/>
          <w:szCs w:val="24"/>
          <w:lang w:val="bg-BG"/>
        </w:rPr>
        <w:t>член 101</w:t>
      </w:r>
      <w:r w:rsidR="0004083A" w:rsidRPr="0079084F">
        <w:rPr>
          <w:color w:val="000000"/>
          <w:sz w:val="24"/>
          <w:szCs w:val="24"/>
          <w:lang w:val="bg-BG"/>
        </w:rPr>
        <w:t xml:space="preserve"> от Регламент (ЕС) № 1303/2013 г.</w:t>
      </w:r>
      <w:r w:rsidRPr="0079084F">
        <w:rPr>
          <w:color w:val="000000"/>
          <w:sz w:val="24"/>
          <w:szCs w:val="24"/>
          <w:lang w:val="bg-BG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260"/>
        <w:gridCol w:w="3685"/>
      </w:tblGrid>
      <w:tr w:rsidR="009F372B" w:rsidRPr="0079084F" w:rsidTr="0052586E">
        <w:tc>
          <w:tcPr>
            <w:tcW w:w="9639" w:type="dxa"/>
            <w:gridSpan w:val="3"/>
            <w:shd w:val="clear" w:color="auto" w:fill="C6D9F1"/>
            <w:vAlign w:val="center"/>
          </w:tcPr>
          <w:p w:rsidR="009F372B" w:rsidRPr="0079084F" w:rsidRDefault="009F372B" w:rsidP="000574F6">
            <w:pPr>
              <w:autoSpaceDE w:val="0"/>
              <w:autoSpaceDN w:val="0"/>
              <w:adjustRightInd w:val="0"/>
              <w:jc w:val="both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 xml:space="preserve">Въз основа на информацията, предоставена по проекта за целите на </w:t>
            </w:r>
            <w:r w:rsidR="00AD4D2B" w:rsidRPr="0079084F">
              <w:rPr>
                <w:color w:val="000000"/>
                <w:sz w:val="24"/>
                <w:lang w:val="bg-BG"/>
              </w:rPr>
              <w:t xml:space="preserve">техническата и финансовата </w:t>
            </w:r>
            <w:r w:rsidR="00E36647" w:rsidRPr="0079084F">
              <w:rPr>
                <w:spacing w:val="10"/>
                <w:sz w:val="24"/>
                <w:szCs w:val="24"/>
                <w:lang w:val="bg-BG"/>
              </w:rPr>
              <w:t>оценка</w:t>
            </w:r>
            <w:r w:rsidR="000574F6" w:rsidRPr="0079084F">
              <w:rPr>
                <w:spacing w:val="10"/>
                <w:sz w:val="24"/>
                <w:szCs w:val="24"/>
                <w:lang w:val="bg-BG"/>
              </w:rPr>
              <w:t xml:space="preserve">, и анализа на тази информация 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>оценяват</w:t>
            </w:r>
            <w:r w:rsidR="000574F6" w:rsidRPr="0079084F">
              <w:rPr>
                <w:spacing w:val="10"/>
                <w:sz w:val="24"/>
                <w:szCs w:val="24"/>
                <w:lang w:val="bg-BG"/>
              </w:rPr>
              <w:t>е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 xml:space="preserve"> ли положително проекта и потвърждават</w:t>
            </w:r>
            <w:r w:rsidR="000574F6" w:rsidRPr="0079084F">
              <w:rPr>
                <w:spacing w:val="10"/>
                <w:sz w:val="24"/>
                <w:szCs w:val="24"/>
                <w:lang w:val="bg-BG"/>
              </w:rPr>
              <w:t>е</w:t>
            </w:r>
            <w:r w:rsidRPr="0079084F">
              <w:rPr>
                <w:spacing w:val="10"/>
                <w:sz w:val="24"/>
                <w:szCs w:val="24"/>
                <w:lang w:val="bg-BG"/>
              </w:rPr>
              <w:t xml:space="preserve"> ли неговата осъществимост и икономическа жизнеспособност?</w:t>
            </w:r>
          </w:p>
        </w:tc>
      </w:tr>
      <w:tr w:rsidR="00CD64CB" w:rsidRPr="0079084F" w:rsidTr="0052586E">
        <w:trPr>
          <w:trHeight w:val="4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4CB" w:rsidRPr="0079084F" w:rsidRDefault="00EA3427" w:rsidP="00363B68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lang w:val="bg-BG"/>
              </w:rPr>
              <w:t>Поставете отметка, където е уместно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B" w:rsidRPr="0079084F" w:rsidRDefault="00CD64CB" w:rsidP="00363B68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B" w:rsidRPr="0079084F" w:rsidRDefault="00CD64CB" w:rsidP="00363B68">
            <w:pPr>
              <w:jc w:val="center"/>
              <w:rPr>
                <w:b/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84F">
              <w:rPr>
                <w:spacing w:val="10"/>
                <w:sz w:val="24"/>
                <w:szCs w:val="24"/>
                <w:lang w:val="bg-BG"/>
              </w:rPr>
              <w:instrText xml:space="preserve"> FORMCHECKBOX </w:instrText>
            </w:r>
            <w:r w:rsidR="00E44A70">
              <w:rPr>
                <w:spacing w:val="10"/>
                <w:sz w:val="24"/>
                <w:szCs w:val="24"/>
                <w:lang w:val="bg-BG"/>
              </w:rPr>
            </w:r>
            <w:r w:rsidR="00E44A70">
              <w:rPr>
                <w:spacing w:val="10"/>
                <w:sz w:val="24"/>
                <w:szCs w:val="24"/>
                <w:lang w:val="bg-BG"/>
              </w:rPr>
              <w:fldChar w:fldCharType="separate"/>
            </w:r>
            <w:r w:rsidRPr="0079084F">
              <w:rPr>
                <w:spacing w:val="10"/>
                <w:sz w:val="24"/>
                <w:szCs w:val="24"/>
                <w:lang w:val="bg-BG"/>
              </w:rPr>
              <w:fldChar w:fldCharType="end"/>
            </w:r>
          </w:p>
        </w:tc>
      </w:tr>
      <w:tr w:rsidR="00CD64CB" w:rsidRPr="0079084F" w:rsidTr="0052586E">
        <w:trPr>
          <w:trHeight w:val="4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B" w:rsidRPr="0079084F" w:rsidRDefault="00CD64CB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B" w:rsidRPr="0079084F" w:rsidRDefault="00CD64CB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>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CB" w:rsidRPr="0079084F" w:rsidRDefault="00CD64CB" w:rsidP="00363B68">
            <w:pPr>
              <w:jc w:val="center"/>
              <w:rPr>
                <w:spacing w:val="10"/>
                <w:sz w:val="24"/>
                <w:szCs w:val="24"/>
                <w:lang w:val="bg-BG"/>
              </w:rPr>
            </w:pPr>
            <w:r w:rsidRPr="0079084F">
              <w:rPr>
                <w:spacing w:val="10"/>
                <w:sz w:val="24"/>
                <w:szCs w:val="24"/>
                <w:lang w:val="bg-BG"/>
              </w:rPr>
              <w:t>НЕ</w:t>
            </w:r>
          </w:p>
        </w:tc>
      </w:tr>
    </w:tbl>
    <w:p w:rsidR="00D90C69" w:rsidRPr="0079084F" w:rsidRDefault="00D90C69" w:rsidP="00AD4577">
      <w:pPr>
        <w:tabs>
          <w:tab w:val="left" w:pos="172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394"/>
        <w:gridCol w:w="1984"/>
        <w:gridCol w:w="1701"/>
      </w:tblGrid>
      <w:tr w:rsidR="00511C66" w:rsidRPr="0079084F" w:rsidTr="0052586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C66" w:rsidRPr="0079084F" w:rsidRDefault="00511C66" w:rsidP="00A11EB2">
            <w:pPr>
              <w:pStyle w:val="Tableline"/>
              <w:snapToGrid w:val="0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11C66" w:rsidRPr="0079084F" w:rsidRDefault="009C62B6" w:rsidP="009C62B6">
            <w:pPr>
              <w:pStyle w:val="Tableline"/>
              <w:snapToGrid w:val="0"/>
              <w:jc w:val="center"/>
              <w:rPr>
                <w:b/>
                <w:bCs/>
                <w:lang w:val="bg-BG"/>
              </w:rPr>
            </w:pPr>
            <w:r w:rsidRPr="0079084F">
              <w:rPr>
                <w:bCs/>
                <w:sz w:val="20"/>
                <w:szCs w:val="20"/>
                <w:lang w:val="bg-BG"/>
              </w:rPr>
              <w:t xml:space="preserve">Име, фамилия и длъжност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</w:tcPr>
          <w:p w:rsidR="00511C66" w:rsidRPr="0079084F" w:rsidRDefault="00511C66" w:rsidP="00A11EB2">
            <w:pPr>
              <w:pStyle w:val="Tableline"/>
              <w:snapToGrid w:val="0"/>
              <w:jc w:val="center"/>
              <w:rPr>
                <w:bCs/>
                <w:sz w:val="20"/>
                <w:szCs w:val="20"/>
                <w:lang w:val="bg-BG"/>
              </w:rPr>
            </w:pPr>
            <w:r w:rsidRPr="0079084F">
              <w:rPr>
                <w:bCs/>
                <w:sz w:val="20"/>
                <w:szCs w:val="20"/>
                <w:lang w:val="bg-BG"/>
              </w:rPr>
              <w:t>Подпис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11C66" w:rsidRPr="0079084F" w:rsidRDefault="00511C66" w:rsidP="00A11EB2">
            <w:pPr>
              <w:pStyle w:val="Tableline"/>
              <w:snapToGrid w:val="0"/>
              <w:jc w:val="center"/>
              <w:rPr>
                <w:bCs/>
                <w:sz w:val="20"/>
                <w:szCs w:val="20"/>
                <w:lang w:val="bg-BG"/>
              </w:rPr>
            </w:pPr>
            <w:r w:rsidRPr="0079084F">
              <w:rPr>
                <w:bCs/>
                <w:sz w:val="20"/>
                <w:szCs w:val="20"/>
                <w:lang w:val="bg-BG"/>
              </w:rPr>
              <w:t>Дата</w:t>
            </w:r>
          </w:p>
        </w:tc>
      </w:tr>
      <w:tr w:rsidR="0062163A" w:rsidRPr="0079084F" w:rsidTr="0052586E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C6D9F1"/>
          </w:tcPr>
          <w:p w:rsidR="0062163A" w:rsidRPr="0079084F" w:rsidRDefault="00CE0C11" w:rsidP="00CE0C11">
            <w:pPr>
              <w:pStyle w:val="Tableline"/>
              <w:snapToGrid w:val="0"/>
              <w:rPr>
                <w:sz w:val="20"/>
                <w:szCs w:val="20"/>
                <w:lang w:val="bg-BG"/>
              </w:rPr>
            </w:pPr>
            <w:r w:rsidRPr="0079084F">
              <w:rPr>
                <w:b/>
                <w:bCs/>
                <w:lang w:val="bg-BG"/>
              </w:rPr>
              <w:t>Изготвил: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25AA" w:rsidRPr="0079084F" w:rsidRDefault="000825AA" w:rsidP="00A11EB2">
            <w:pPr>
              <w:pStyle w:val="Tableline"/>
              <w:snapToGrid w:val="0"/>
              <w:jc w:val="center"/>
              <w:rPr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63A" w:rsidRPr="0079084F" w:rsidRDefault="0062163A" w:rsidP="00A11EB2">
            <w:pPr>
              <w:pStyle w:val="Tableline"/>
              <w:snapToGrid w:val="0"/>
              <w:jc w:val="center"/>
              <w:rPr>
                <w:bCs/>
                <w:lang w:val="bg-BG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163A" w:rsidRPr="0079084F" w:rsidRDefault="0062163A" w:rsidP="00A11EB2">
            <w:pPr>
              <w:pStyle w:val="Tableline"/>
              <w:snapToGrid w:val="0"/>
              <w:jc w:val="center"/>
              <w:rPr>
                <w:bCs/>
                <w:lang w:val="bg-BG"/>
              </w:rPr>
            </w:pPr>
          </w:p>
        </w:tc>
      </w:tr>
      <w:tr w:rsidR="0062163A" w:rsidRPr="00BE51C1" w:rsidTr="0052586E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62163A" w:rsidRPr="0079084F" w:rsidRDefault="0062163A" w:rsidP="00A11EB2">
            <w:pPr>
              <w:pStyle w:val="Tableline"/>
              <w:snapToGrid w:val="0"/>
              <w:rPr>
                <w:lang w:val="bg-BG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C11" w:rsidRPr="0079084F" w:rsidRDefault="00CE0C11" w:rsidP="00CE0C11">
            <w:pPr>
              <w:pStyle w:val="Tableline"/>
              <w:snapToGrid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79084F">
              <w:rPr>
                <w:b/>
                <w:bCs/>
                <w:lang w:val="en-US"/>
              </w:rPr>
              <w:t>……………………………………………..</w:t>
            </w:r>
          </w:p>
          <w:p w:rsidR="0062163A" w:rsidRPr="009609C0" w:rsidRDefault="0086744D" w:rsidP="00CE0C11">
            <w:pPr>
              <w:pStyle w:val="Tableline"/>
              <w:snapToGrid w:val="0"/>
              <w:jc w:val="center"/>
              <w:rPr>
                <w:i/>
                <w:sz w:val="24"/>
                <w:szCs w:val="24"/>
                <w:lang w:val="bg-BG"/>
              </w:rPr>
            </w:pPr>
            <w:r w:rsidRPr="0079084F">
              <w:rPr>
                <w:i/>
                <w:sz w:val="24"/>
                <w:szCs w:val="24"/>
                <w:lang w:val="bg-BG"/>
              </w:rPr>
              <w:t>Пълно наименование на бенефициента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63A" w:rsidRPr="00BE51C1" w:rsidRDefault="0062163A" w:rsidP="00A11EB2">
            <w:pPr>
              <w:pStyle w:val="Tableline"/>
              <w:snapToGrid w:val="0"/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163A" w:rsidRDefault="0062163A" w:rsidP="00A11EB2">
            <w:pPr>
              <w:pStyle w:val="Tableline"/>
              <w:snapToGrid w:val="0"/>
              <w:jc w:val="center"/>
              <w:rPr>
                <w:b/>
                <w:bCs/>
                <w:lang w:val="bg-BG"/>
              </w:rPr>
            </w:pPr>
          </w:p>
        </w:tc>
      </w:tr>
    </w:tbl>
    <w:p w:rsidR="00367BEB" w:rsidRPr="003632C7" w:rsidRDefault="00367BEB" w:rsidP="00AD4577">
      <w:pPr>
        <w:tabs>
          <w:tab w:val="left" w:pos="1725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sectPr w:rsidR="00367BEB" w:rsidRPr="003632C7" w:rsidSect="00794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D5" w:rsidRDefault="006E61D5">
      <w:r>
        <w:separator/>
      </w:r>
    </w:p>
  </w:endnote>
  <w:endnote w:type="continuationSeparator" w:id="0">
    <w:p w:rsidR="006E61D5" w:rsidRDefault="006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WBUTZ+HelenBg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ReguItal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70" w:rsidRDefault="00E44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70" w:rsidRDefault="00E44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70" w:rsidRDefault="00E44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D5" w:rsidRDefault="006E61D5">
      <w:r>
        <w:separator/>
      </w:r>
    </w:p>
  </w:footnote>
  <w:footnote w:type="continuationSeparator" w:id="0">
    <w:p w:rsidR="006E61D5" w:rsidRDefault="006E61D5">
      <w:r>
        <w:continuationSeparator/>
      </w:r>
    </w:p>
  </w:footnote>
  <w:footnote w:id="1">
    <w:p w:rsidR="006E61D5" w:rsidRPr="004D58D3" w:rsidRDefault="006E61D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bookmarkStart w:id="0" w:name="_Ref409704275"/>
      <w:r w:rsidRPr="005B04E5">
        <w:t>За „големи проекти“ (</w:t>
      </w:r>
      <w:r w:rsidRPr="005B04E5">
        <w:rPr>
          <w:i/>
        </w:rPr>
        <w:t>с обща стойност на допустимите разходи над 75 млн. евро - по тематична цел 7 и над 50 млн. евро - по тематична цел 4</w:t>
      </w:r>
      <w:r w:rsidRPr="005B04E5">
        <w:t>) се подават във формата, приет от Европейската комисия, съгласно чл. 101 от Регламент (ЕС) № 1303/2013</w:t>
      </w:r>
      <w:bookmarkEnd w:id="0"/>
      <w:r w:rsidRPr="005B04E5">
        <w:rPr>
          <w:lang w:val="en-US"/>
        </w:rPr>
        <w:t xml:space="preserve"> </w:t>
      </w:r>
      <w:r w:rsidRPr="005B04E5">
        <w:t>г.</w:t>
      </w:r>
    </w:p>
  </w:footnote>
  <w:footnote w:id="2">
    <w:p w:rsidR="006E61D5" w:rsidRPr="006F047E" w:rsidRDefault="006E61D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 зависимост от начина на подаване на проектното предложение: при подаване чрез системата ИСУН 2020 се проверява наличието на електронен подпис, а при подаване на хартиен носител се проверява наличие на подпис на Декларацията, към която е приложен на електронен носител ФК.</w:t>
      </w:r>
    </w:p>
  </w:footnote>
  <w:footnote w:id="3">
    <w:p w:rsidR="006E61D5" w:rsidRPr="006F2E0E" w:rsidRDefault="006E61D5" w:rsidP="00163A62">
      <w:pPr>
        <w:pStyle w:val="FootnoteText"/>
        <w:ind w:left="284" w:hanging="284"/>
      </w:pPr>
      <w:r>
        <w:rPr>
          <w:rStyle w:val="FootnoteReference"/>
        </w:rPr>
        <w:footnoteRef/>
      </w:r>
      <w:r>
        <w:rPr>
          <w:lang w:val="bg-BG"/>
        </w:rPr>
        <w:t xml:space="preserve"> 4е </w:t>
      </w:r>
      <w:r>
        <w:t>Насърчаване на стратегии за нисковъглеродно развитие във всички видове територии, по-специално градските райони, включително насърчаването на устойчива мултимодална градска мобилност и мерки за приспособяване и смекчаване, свързани с изменението на климата.</w:t>
      </w:r>
    </w:p>
    <w:p w:rsidR="006E61D5" w:rsidRPr="006F2E0E" w:rsidRDefault="006E61D5" w:rsidP="00907666">
      <w:pPr>
        <w:pStyle w:val="FootnoteText"/>
        <w:ind w:left="284" w:hanging="284"/>
        <w:jc w:val="both"/>
      </w:pPr>
      <w:r>
        <w:t>7а</w:t>
      </w:r>
      <w:r>
        <w:rPr>
          <w:lang w:val="bg-BG"/>
        </w:rPr>
        <w:t xml:space="preserve"> </w:t>
      </w:r>
      <w:r>
        <w:t>Предоставяне на подкрепа за мултимодалното единно европейско транспортно пространство, посредством инвестиции в Трансевропейската транспортна мрежа;</w:t>
      </w:r>
    </w:p>
    <w:p w:rsidR="006E61D5" w:rsidRPr="006F2E0E" w:rsidRDefault="006E61D5" w:rsidP="00907666">
      <w:pPr>
        <w:pStyle w:val="FootnoteText"/>
        <w:ind w:left="284" w:hanging="284"/>
        <w:jc w:val="both"/>
      </w:pPr>
      <w:r>
        <w:t xml:space="preserve">7с Разработване и подобряване на екологосъобразни, включително с ниски емисии на шум, и ниско-въглеродни транспортни системи, включително вътрешни водни пътища и морски транспорт, пристанища, мултимодални връзки и летищна инфраструктура с цел насърчаване на устойчиво развита регионална и местна мобилност. </w:t>
      </w:r>
    </w:p>
    <w:p w:rsidR="006E61D5" w:rsidRPr="006F2E0E" w:rsidRDefault="006E61D5" w:rsidP="00907666">
      <w:pPr>
        <w:pStyle w:val="FootnoteText"/>
        <w:ind w:left="284" w:hanging="284"/>
        <w:jc w:val="both"/>
      </w:pPr>
      <w:r>
        <w:t>7d Изграждане и рехабилитация на всеобхватни, висококачествени и оперативно съвместими железопътни системи и насърчаване на мерки за намаляване на шума.</w:t>
      </w:r>
    </w:p>
    <w:p w:rsidR="006E61D5" w:rsidRPr="006F2E0E" w:rsidRDefault="006E61D5" w:rsidP="00907666">
      <w:pPr>
        <w:pStyle w:val="FootnoteText"/>
        <w:ind w:left="284" w:hanging="284"/>
        <w:jc w:val="both"/>
      </w:pPr>
      <w:r>
        <w:t>7i Предоставяне на подкрепа за мултимодалното единно европейско транспортно пространство посредством инвестиции в Трансевропейската транспортна мрежа</w:t>
      </w:r>
    </w:p>
    <w:p w:rsidR="006E61D5" w:rsidRPr="0089672B" w:rsidRDefault="006E61D5" w:rsidP="0089672B">
      <w:pPr>
        <w:pStyle w:val="FootnoteText"/>
        <w:jc w:val="both"/>
        <w:rPr>
          <w:lang w:val="bg-BG"/>
        </w:rPr>
      </w:pPr>
    </w:p>
  </w:footnote>
  <w:footnote w:id="4">
    <w:p w:rsidR="006E61D5" w:rsidRPr="00907666" w:rsidRDefault="006E61D5" w:rsidP="00907666">
      <w:pPr>
        <w:pStyle w:val="FootnoteText"/>
        <w:ind w:left="142" w:hanging="142"/>
        <w:jc w:val="both"/>
        <w:rPr>
          <w:lang w:val="bg-BG"/>
        </w:rPr>
      </w:pPr>
      <w:r w:rsidRPr="00907666">
        <w:rPr>
          <w:rStyle w:val="FootnoteReference"/>
          <w:b/>
        </w:rPr>
        <w:footnoteRef/>
      </w:r>
      <w:r w:rsidRPr="00907666">
        <w:rPr>
          <w:b/>
        </w:rPr>
        <w:t xml:space="preserve"> </w:t>
      </w:r>
      <w:r w:rsidRPr="00863C2C">
        <w:rPr>
          <w:lang w:val="bg-BG"/>
        </w:rPr>
        <w:t>Съгласно</w:t>
      </w:r>
      <w:r>
        <w:rPr>
          <w:b/>
          <w:lang w:val="bg-BG"/>
        </w:rPr>
        <w:t xml:space="preserve"> </w:t>
      </w:r>
      <w:r>
        <w:t>Решение за изпълнение на Комисията</w:t>
      </w:r>
      <w:r>
        <w:rPr>
          <w:lang w:val="bg-BG"/>
        </w:rPr>
        <w:t xml:space="preserve"> </w:t>
      </w:r>
      <w:r>
        <w:t>от 18 февруари 2014 година</w:t>
      </w:r>
      <w:r>
        <w:rPr>
          <w:lang w:val="bg-BG"/>
        </w:rPr>
        <w:t xml:space="preserve"> </w:t>
      </w:r>
      <w:r>
        <w:t>за определяне на списъка на регионите, които отговарят на критериите за финансиране по Европейския фонд за регионално развитие и Европейския социален фонд, и на държавите членки, които отговарят на критериите за финансиране по Кохезионния фонд за периода 2014—2020 г.</w:t>
      </w:r>
      <w:r>
        <w:rPr>
          <w:lang w:val="bg-BG"/>
        </w:rPr>
        <w:t xml:space="preserve"> </w:t>
      </w:r>
      <w:r>
        <w:t>(нотифицирано под номер C(2014) 974)</w:t>
      </w:r>
      <w:r>
        <w:rPr>
          <w:lang w:val="bg-BG"/>
        </w:rPr>
        <w:t xml:space="preserve"> </w:t>
      </w:r>
      <w:r>
        <w:t>(2014/99/ЕС)</w:t>
      </w:r>
    </w:p>
  </w:footnote>
  <w:footnote w:id="5">
    <w:p w:rsidR="006E61D5" w:rsidRPr="00336265" w:rsidRDefault="006E61D5" w:rsidP="00FB694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параграф  2 на чл. 65 от Регламент (ЕС) № 1303/2013 г.</w:t>
      </w:r>
    </w:p>
  </w:footnote>
  <w:footnote w:id="6">
    <w:p w:rsidR="006E61D5" w:rsidRPr="00526AEA" w:rsidRDefault="006E61D5" w:rsidP="00D07D0A">
      <w:pPr>
        <w:pStyle w:val="FootnoteText"/>
        <w:ind w:left="284" w:hanging="142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В съответствие с </w:t>
      </w:r>
      <w:r w:rsidRPr="00526AEA">
        <w:t>т. 13 на ДНФ № 1 от 01.07.2014 г.</w:t>
      </w:r>
      <w:r w:rsidRPr="00EE4139">
        <w:rPr>
          <w:spacing w:val="10"/>
          <w:lang w:val="bg-BG"/>
        </w:rPr>
        <w:t xml:space="preserve"> </w:t>
      </w:r>
      <w:r w:rsidRPr="009216E6">
        <w:rPr>
          <w:spacing w:val="10"/>
          <w:lang w:val="bg-BG"/>
        </w:rPr>
        <w:t>или действаща</w:t>
      </w:r>
      <w:r>
        <w:rPr>
          <w:spacing w:val="10"/>
          <w:lang w:val="bg-BG"/>
        </w:rPr>
        <w:t>та</w:t>
      </w:r>
      <w:r w:rsidRPr="009216E6">
        <w:rPr>
          <w:spacing w:val="10"/>
          <w:lang w:val="bg-BG"/>
        </w:rPr>
        <w:t xml:space="preserve"> нормативна уредба</w:t>
      </w:r>
      <w:r>
        <w:rPr>
          <w:spacing w:val="10"/>
          <w:lang w:val="bg-BG"/>
        </w:rPr>
        <w:t>,</w:t>
      </w:r>
      <w:r w:rsidRPr="009216E6">
        <w:rPr>
          <w:spacing w:val="10"/>
          <w:lang w:val="bg-BG"/>
        </w:rPr>
        <w:t xml:space="preserve"> в случай на отмяна/ изменение на т</w:t>
      </w:r>
      <w:r>
        <w:rPr>
          <w:spacing w:val="10"/>
          <w:lang w:val="bg-BG"/>
        </w:rPr>
        <w:t>е</w:t>
      </w:r>
      <w:r w:rsidRPr="009216E6">
        <w:rPr>
          <w:spacing w:val="10"/>
          <w:lang w:val="bg-BG"/>
        </w:rPr>
        <w:t xml:space="preserve">зи </w:t>
      </w:r>
      <w:r>
        <w:rPr>
          <w:spacing w:val="10"/>
          <w:lang w:val="bg-BG"/>
        </w:rPr>
        <w:t>указания</w:t>
      </w:r>
      <w:r w:rsidRPr="00562578">
        <w:t>.</w:t>
      </w:r>
    </w:p>
  </w:footnote>
  <w:footnote w:id="7">
    <w:p w:rsidR="006E61D5" w:rsidRDefault="006E61D5" w:rsidP="006B14D6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В съответствие с чл. 131 параграф 3 от Регламент (ЕС, Евратом) № 966/2012 на Европейския парламент и на съвета от 25 октомври 2012 относно финансовите правила, приложими за общия бюджет на Съюза и за отмяна на Регламент (ЕО, Евратом) № 1605/2002 на Съвета и чл. 125 параграф 3 буква г) на 1303/2013 г.</w:t>
      </w:r>
    </w:p>
    <w:p w:rsidR="006E61D5" w:rsidRPr="006B14D6" w:rsidRDefault="006E61D5">
      <w:pPr>
        <w:pStyle w:val="FootnoteText"/>
        <w:rPr>
          <w:lang w:val="bg-BG"/>
        </w:rPr>
      </w:pPr>
    </w:p>
  </w:footnote>
  <w:footnote w:id="8">
    <w:p w:rsidR="006E61D5" w:rsidRPr="00C41459" w:rsidRDefault="006E61D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C41459">
        <w:t>http://www.optransport.bg/page.php?c=274&amp;d=1339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70" w:rsidRDefault="00E44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108" w:tblpY="182"/>
      <w:tblW w:w="9462" w:type="dxa"/>
      <w:tblLayout w:type="fixed"/>
      <w:tblLook w:val="0000" w:firstRow="0" w:lastRow="0" w:firstColumn="0" w:lastColumn="0" w:noHBand="0" w:noVBand="0"/>
    </w:tblPr>
    <w:tblGrid>
      <w:gridCol w:w="2093"/>
      <w:gridCol w:w="3148"/>
      <w:gridCol w:w="2947"/>
      <w:gridCol w:w="1274"/>
    </w:tblGrid>
    <w:tr w:rsidR="006E61D5" w:rsidRPr="00D278B2" w:rsidTr="007A1D01">
      <w:trPr>
        <w:trHeight w:val="318"/>
      </w:trPr>
      <w:tc>
        <w:tcPr>
          <w:tcW w:w="8188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6E61D5" w:rsidRPr="003A5660" w:rsidRDefault="006E61D5" w:rsidP="00C8612A">
          <w:pPr>
            <w:pStyle w:val="Footer"/>
            <w:jc w:val="right"/>
            <w:rPr>
              <w:b/>
              <w:szCs w:val="24"/>
              <w:lang w:val="bg-BG"/>
            </w:rPr>
          </w:pPr>
          <w:r w:rsidRPr="003A5660">
            <w:rPr>
              <w:b/>
              <w:szCs w:val="24"/>
              <w:lang w:val="bg-BG"/>
            </w:rPr>
            <w:t>Приложение:</w:t>
          </w:r>
        </w:p>
      </w:tc>
      <w:tc>
        <w:tcPr>
          <w:tcW w:w="127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F3F3F3"/>
          <w:vAlign w:val="center"/>
        </w:tcPr>
        <w:p w:rsidR="006E61D5" w:rsidRPr="00876A81" w:rsidRDefault="006E61D5" w:rsidP="00967F42">
          <w:pPr>
            <w:pStyle w:val="Footer"/>
            <w:ind w:firstLine="120"/>
            <w:jc w:val="right"/>
            <w:rPr>
              <w:b/>
              <w:szCs w:val="24"/>
              <w:lang w:val="bg-BG"/>
            </w:rPr>
          </w:pPr>
          <w:bookmarkStart w:id="1" w:name="_GoBack"/>
          <w:bookmarkEnd w:id="1"/>
          <w:r>
            <w:rPr>
              <w:b/>
              <w:szCs w:val="24"/>
              <w:lang w:val="bg-BG"/>
            </w:rPr>
            <w:t>5.1</w:t>
          </w:r>
        </w:p>
      </w:tc>
    </w:tr>
    <w:tr w:rsidR="006E61D5" w:rsidRPr="00D278B2" w:rsidTr="007A1D01">
      <w:trPr>
        <w:trHeight w:val="366"/>
      </w:trPr>
      <w:tc>
        <w:tcPr>
          <w:tcW w:w="8188" w:type="dxa"/>
          <w:gridSpan w:val="3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6E61D5" w:rsidRDefault="006E61D5" w:rsidP="007A1D01">
          <w:pPr>
            <w:pStyle w:val="Footer"/>
            <w:ind w:firstLine="0"/>
            <w:jc w:val="right"/>
            <w:rPr>
              <w:b/>
              <w:szCs w:val="24"/>
              <w:lang w:val="bg-BG"/>
            </w:rPr>
          </w:pPr>
          <w:r>
            <w:rPr>
              <w:b/>
              <w:szCs w:val="24"/>
              <w:lang w:val="bg-BG"/>
            </w:rPr>
            <w:t xml:space="preserve">ОЦЕНИТЕЛНА ТАБЛИЦА ЗА ИЗВЪРШЕНА САМООЦЕНКА  </w:t>
          </w:r>
        </w:p>
        <w:p w:rsidR="006E61D5" w:rsidRPr="004D58D3" w:rsidRDefault="006E61D5" w:rsidP="0086744D">
          <w:pPr>
            <w:pStyle w:val="Footer"/>
            <w:ind w:firstLine="0"/>
            <w:jc w:val="right"/>
            <w:rPr>
              <w:b/>
              <w:szCs w:val="24"/>
              <w:lang w:val="bg-BG"/>
            </w:rPr>
          </w:pPr>
          <w:r>
            <w:rPr>
              <w:b/>
              <w:szCs w:val="24"/>
              <w:lang w:val="bg-BG"/>
            </w:rPr>
            <w:t>ОТ БЕНЕФИЦИЕНТА НА ПРОЕКТНО ПРЕДЛОЖЕНИЕ ЗА  ИНФРАСТРУКТУРЕН/ ИНВЕСТИЦИОНЕН ПРОЕКТ</w:t>
          </w:r>
        </w:p>
      </w:tc>
      <w:tc>
        <w:tcPr>
          <w:tcW w:w="127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F3F3F3"/>
          <w:vAlign w:val="center"/>
        </w:tcPr>
        <w:p w:rsidR="006E61D5" w:rsidRPr="003A5660" w:rsidRDefault="006E61D5" w:rsidP="00C8612A">
          <w:pPr>
            <w:pStyle w:val="Footer"/>
            <w:ind w:firstLine="120"/>
            <w:rPr>
              <w:b/>
              <w:sz w:val="20"/>
              <w:lang w:val="bg-BG"/>
            </w:rPr>
          </w:pPr>
          <w:r>
            <w:rPr>
              <w:b/>
              <w:sz w:val="20"/>
              <w:lang w:val="en-US"/>
            </w:rPr>
            <w:t xml:space="preserve">   </w:t>
          </w:r>
          <w:r w:rsidRPr="003A5660">
            <w:rPr>
              <w:b/>
              <w:sz w:val="20"/>
              <w:lang w:val="bg-BG"/>
            </w:rPr>
            <w:t xml:space="preserve">стр. </w:t>
          </w:r>
          <w:r w:rsidRPr="003A5660">
            <w:rPr>
              <w:rStyle w:val="PageNumber"/>
              <w:b/>
              <w:sz w:val="20"/>
            </w:rPr>
            <w:fldChar w:fldCharType="begin"/>
          </w:r>
          <w:r w:rsidRPr="003A5660">
            <w:rPr>
              <w:rStyle w:val="PageNumber"/>
              <w:b/>
              <w:sz w:val="20"/>
            </w:rPr>
            <w:instrText xml:space="preserve"> PAGE </w:instrText>
          </w:r>
          <w:r w:rsidRPr="003A5660">
            <w:rPr>
              <w:rStyle w:val="PageNumber"/>
              <w:b/>
              <w:sz w:val="20"/>
            </w:rPr>
            <w:fldChar w:fldCharType="separate"/>
          </w:r>
          <w:r w:rsidR="00E44A70">
            <w:rPr>
              <w:rStyle w:val="PageNumber"/>
              <w:b/>
              <w:noProof/>
              <w:sz w:val="20"/>
            </w:rPr>
            <w:t>1</w:t>
          </w:r>
          <w:r w:rsidRPr="003A5660">
            <w:rPr>
              <w:rStyle w:val="PageNumber"/>
              <w:b/>
              <w:sz w:val="20"/>
            </w:rPr>
            <w:fldChar w:fldCharType="end"/>
          </w:r>
          <w:r w:rsidRPr="003A5660">
            <w:rPr>
              <w:b/>
              <w:sz w:val="20"/>
            </w:rPr>
            <w:t>/</w:t>
          </w:r>
          <w:r w:rsidRPr="003A5660">
            <w:rPr>
              <w:rStyle w:val="PageNumber"/>
              <w:b/>
              <w:sz w:val="20"/>
            </w:rPr>
            <w:fldChar w:fldCharType="begin"/>
          </w:r>
          <w:r w:rsidRPr="003A5660">
            <w:rPr>
              <w:rStyle w:val="PageNumber"/>
              <w:b/>
              <w:sz w:val="20"/>
            </w:rPr>
            <w:instrText xml:space="preserve"> NUMPAGES </w:instrText>
          </w:r>
          <w:r w:rsidRPr="003A5660">
            <w:rPr>
              <w:rStyle w:val="PageNumber"/>
              <w:b/>
              <w:sz w:val="20"/>
            </w:rPr>
            <w:fldChar w:fldCharType="separate"/>
          </w:r>
          <w:r w:rsidR="00E44A70">
            <w:rPr>
              <w:rStyle w:val="PageNumber"/>
              <w:b/>
              <w:noProof/>
              <w:sz w:val="20"/>
            </w:rPr>
            <w:t>17</w:t>
          </w:r>
          <w:r w:rsidRPr="003A5660">
            <w:rPr>
              <w:rStyle w:val="PageNumber"/>
              <w:b/>
              <w:sz w:val="20"/>
            </w:rPr>
            <w:fldChar w:fldCharType="end"/>
          </w:r>
        </w:p>
      </w:tc>
    </w:tr>
    <w:tr w:rsidR="006E61D5" w:rsidRPr="00D278B2" w:rsidTr="006E61D5">
      <w:trPr>
        <w:trHeight w:val="2729"/>
      </w:trPr>
      <w:tc>
        <w:tcPr>
          <w:tcW w:w="2093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6E61D5" w:rsidRPr="007D56DB" w:rsidRDefault="006E61D5" w:rsidP="00C8612A">
          <w:pPr>
            <w:pStyle w:val="Pa1"/>
            <w:jc w:val="center"/>
            <w:rPr>
              <w:rFonts w:ascii="Times New Roman" w:hAnsi="Times New Roman"/>
              <w:b/>
            </w:rPr>
          </w:pPr>
          <w:r w:rsidRPr="007A1D01">
            <w:rPr>
              <w:rFonts w:ascii="Times New Roman" w:hAnsi="Times New Roman"/>
              <w:b/>
              <w:spacing w:val="10"/>
            </w:rPr>
            <w:t>Насоки по</w:t>
          </w:r>
          <w:r w:rsidRPr="0046351F">
            <w:rPr>
              <w:rFonts w:ascii="Times New Roman" w:hAnsi="Times New Roman"/>
              <w:spacing w:val="10"/>
            </w:rPr>
            <w:t xml:space="preserve"> </w:t>
          </w:r>
          <w:r w:rsidRPr="007D56DB">
            <w:rPr>
              <w:rFonts w:ascii="Times New Roman" w:hAnsi="Times New Roman"/>
              <w:b/>
            </w:rPr>
            <w:t>ОПТТИ</w:t>
          </w:r>
        </w:p>
        <w:p w:rsidR="006E61D5" w:rsidRPr="007D56DB" w:rsidRDefault="006E61D5" w:rsidP="006E61D5">
          <w:pPr>
            <w:pStyle w:val="Pa1"/>
            <w:jc w:val="center"/>
          </w:pPr>
          <w:r w:rsidRPr="007D56DB">
            <w:rPr>
              <w:rFonts w:ascii="Times New Roman" w:hAnsi="Times New Roman"/>
              <w:b/>
            </w:rPr>
            <w:t>2014-2020</w:t>
          </w:r>
        </w:p>
      </w:tc>
      <w:tc>
        <w:tcPr>
          <w:tcW w:w="3148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6E61D5" w:rsidRDefault="006E61D5" w:rsidP="00C8612A">
          <w:pPr>
            <w:rPr>
              <w:rFonts w:ascii="Arial" w:hAnsi="Arial" w:cs="Arial"/>
              <w:i/>
              <w:sz w:val="10"/>
              <w:szCs w:val="10"/>
              <w:lang w:val="ru-RU"/>
            </w:rPr>
          </w:pPr>
        </w:p>
        <w:p w:rsidR="006E61D5" w:rsidRPr="003632C7" w:rsidRDefault="006E61D5" w:rsidP="00C8612A">
          <w:pPr>
            <w:rPr>
              <w:rFonts w:ascii="Arial" w:hAnsi="Arial" w:cs="Arial"/>
              <w:i/>
              <w:sz w:val="10"/>
              <w:szCs w:val="10"/>
              <w:lang w:val="ru-RU"/>
            </w:rPr>
          </w:pPr>
        </w:p>
        <w:p w:rsidR="006E61D5" w:rsidRPr="009F0821" w:rsidRDefault="006E61D5" w:rsidP="00C8612A">
          <w:pPr>
            <w:jc w:val="center"/>
            <w:rPr>
              <w:rFonts w:ascii="Arial" w:hAnsi="Arial" w:cs="Arial"/>
              <w:i/>
              <w:color w:val="0070C0"/>
              <w:sz w:val="10"/>
              <w:szCs w:val="10"/>
              <w:lang w:val="bg-BG"/>
            </w:rPr>
          </w:pPr>
          <w:r w:rsidRPr="009F0821">
            <w:rPr>
              <w:rFonts w:ascii="Arial" w:hAnsi="Arial" w:cs="Arial"/>
              <w:i/>
              <w:color w:val="0070C0"/>
              <w:sz w:val="10"/>
              <w:szCs w:val="10"/>
              <w:lang w:val="bg-BG"/>
            </w:rPr>
            <w:t xml:space="preserve"> </w:t>
          </w:r>
          <w:r>
            <w:rPr>
              <w:rFonts w:ascii="Arial" w:hAnsi="Arial" w:cs="Arial"/>
              <w:i/>
              <w:color w:val="0070C0"/>
              <w:sz w:val="10"/>
              <w:szCs w:val="10"/>
              <w:lang w:val="bg-BG"/>
            </w:rPr>
            <w:t xml:space="preserve">  Инвестираме във В</w:t>
          </w:r>
          <w:r w:rsidRPr="009F0821">
            <w:rPr>
              <w:rFonts w:ascii="Arial" w:hAnsi="Arial" w:cs="Arial"/>
              <w:i/>
              <w:color w:val="0070C0"/>
              <w:sz w:val="10"/>
              <w:szCs w:val="10"/>
              <w:lang w:val="bg-BG"/>
            </w:rPr>
            <w:t>ашето бъдеще</w:t>
          </w:r>
        </w:p>
        <w:p w:rsidR="006E61D5" w:rsidRPr="00AE00E5" w:rsidRDefault="006E61D5" w:rsidP="00C8612A">
          <w:pPr>
            <w:spacing w:before="120"/>
            <w:jc w:val="center"/>
            <w:rPr>
              <w:sz w:val="16"/>
              <w:szCs w:val="16"/>
              <w:lang w:val="ru-RU"/>
            </w:rPr>
          </w:pPr>
          <w:r>
            <w:rPr>
              <w:noProof/>
              <w:color w:val="000000"/>
              <w:sz w:val="19"/>
              <w:szCs w:val="19"/>
              <w:lang w:val="bg-BG" w:eastAsia="bg-BG"/>
            </w:rPr>
            <w:drawing>
              <wp:inline distT="0" distB="0" distL="0" distR="0" wp14:anchorId="624FC372" wp14:editId="2909CC06">
                <wp:extent cx="1066800" cy="809625"/>
                <wp:effectExtent l="0" t="0" r="0" b="0"/>
                <wp:docPr id="1" name="Picture 1" descr="EU 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 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E00E5">
            <w:rPr>
              <w:sz w:val="16"/>
              <w:szCs w:val="16"/>
              <w:lang w:val="ru-RU"/>
            </w:rPr>
            <w:t xml:space="preserve"> </w:t>
          </w:r>
        </w:p>
        <w:p w:rsidR="006E61D5" w:rsidRDefault="006E61D5" w:rsidP="00C8612A">
          <w:pPr>
            <w:jc w:val="center"/>
            <w:rPr>
              <w:sz w:val="16"/>
              <w:szCs w:val="16"/>
              <w:lang w:val="ru-RU"/>
            </w:rPr>
          </w:pPr>
        </w:p>
        <w:p w:rsidR="006E61D5" w:rsidRPr="00472A35" w:rsidRDefault="006E61D5" w:rsidP="00C8612A">
          <w:pPr>
            <w:rPr>
              <w:rFonts w:ascii="Arial" w:hAnsi="Arial" w:cs="Arial"/>
              <w:b/>
              <w:sz w:val="16"/>
              <w:szCs w:val="16"/>
              <w:lang w:val="ru-RU"/>
            </w:rPr>
          </w:pPr>
          <w:r>
            <w:rPr>
              <w:rFonts w:ascii="Arial" w:hAnsi="Arial" w:cs="Arial"/>
              <w:sz w:val="16"/>
              <w:szCs w:val="16"/>
              <w:lang w:val="ru-RU"/>
            </w:rPr>
            <w:t xml:space="preserve">               </w:t>
          </w:r>
          <w:r w:rsidRPr="00472A35">
            <w:rPr>
              <w:rFonts w:ascii="Arial" w:hAnsi="Arial" w:cs="Arial"/>
              <w:b/>
              <w:sz w:val="16"/>
              <w:szCs w:val="16"/>
              <w:lang w:val="ru-RU"/>
            </w:rPr>
            <w:t>ЕВРОПЕЙСКИ СЪЮЗ</w:t>
          </w:r>
        </w:p>
        <w:p w:rsidR="006E61D5" w:rsidRPr="00472A35" w:rsidRDefault="006E61D5" w:rsidP="00C8612A">
          <w:pPr>
            <w:rPr>
              <w:rFonts w:ascii="Arial" w:hAnsi="Arial" w:cs="Arial"/>
              <w:b/>
              <w:sz w:val="14"/>
              <w:szCs w:val="14"/>
              <w:lang w:val="ru-RU"/>
            </w:rPr>
          </w:pPr>
          <w:r w:rsidRPr="00472A35">
            <w:rPr>
              <w:rFonts w:ascii="Arial" w:hAnsi="Arial" w:cs="Arial"/>
              <w:b/>
              <w:sz w:val="14"/>
              <w:szCs w:val="14"/>
              <w:lang w:val="ru-RU"/>
            </w:rPr>
            <w:t xml:space="preserve">                 ЕВРОПЕЙСКИ ФОНД</w:t>
          </w:r>
        </w:p>
        <w:p w:rsidR="006E61D5" w:rsidRPr="00472A35" w:rsidRDefault="006E61D5" w:rsidP="00C8612A">
          <w:pPr>
            <w:tabs>
              <w:tab w:val="left" w:pos="1725"/>
            </w:tabs>
            <w:rPr>
              <w:rFonts w:ascii="Arial" w:hAnsi="Arial" w:cs="Arial"/>
              <w:b/>
              <w:sz w:val="14"/>
              <w:szCs w:val="14"/>
              <w:lang w:val="ru-RU"/>
            </w:rPr>
          </w:pPr>
          <w:r w:rsidRPr="00472A35">
            <w:rPr>
              <w:rFonts w:ascii="Arial" w:hAnsi="Arial" w:cs="Arial"/>
              <w:b/>
              <w:sz w:val="14"/>
              <w:szCs w:val="14"/>
              <w:lang w:val="ru-RU"/>
            </w:rPr>
            <w:t xml:space="preserve">                 ЗА РЕГИОНАЛНО РАЗВИТИЕ</w:t>
          </w:r>
        </w:p>
        <w:p w:rsidR="006E61D5" w:rsidRPr="00472A35" w:rsidRDefault="006E61D5" w:rsidP="00C8612A">
          <w:pPr>
            <w:tabs>
              <w:tab w:val="left" w:pos="1725"/>
            </w:tabs>
            <w:rPr>
              <w:rFonts w:ascii="Arial" w:hAnsi="Arial" w:cs="Arial"/>
              <w:b/>
              <w:sz w:val="14"/>
              <w:szCs w:val="14"/>
              <w:lang w:val="ru-RU"/>
            </w:rPr>
          </w:pPr>
          <w:r w:rsidRPr="00472A35">
            <w:rPr>
              <w:rFonts w:ascii="Arial" w:hAnsi="Arial" w:cs="Arial"/>
              <w:b/>
              <w:sz w:val="14"/>
              <w:szCs w:val="14"/>
              <w:lang w:val="ru-RU"/>
            </w:rPr>
            <w:t xml:space="preserve">                 КОХЕЗИОНЕН ФОНД</w:t>
          </w:r>
        </w:p>
        <w:p w:rsidR="006E61D5" w:rsidRPr="004375DA" w:rsidRDefault="006E61D5" w:rsidP="00C8612A">
          <w:pPr>
            <w:rPr>
              <w:rFonts w:ascii="Arial" w:hAnsi="Arial" w:cs="Arial"/>
              <w:sz w:val="12"/>
              <w:szCs w:val="12"/>
              <w:lang w:val="ru-RU"/>
            </w:rPr>
          </w:pPr>
        </w:p>
      </w:tc>
      <w:tc>
        <w:tcPr>
          <w:tcW w:w="29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6E61D5" w:rsidRPr="00E34A30" w:rsidRDefault="006E61D5" w:rsidP="00C8612A">
          <w:pPr>
            <w:jc w:val="center"/>
            <w:rPr>
              <w:rFonts w:ascii="Arial" w:hAnsi="Arial" w:cs="Arial"/>
              <w:b/>
              <w:sz w:val="18"/>
              <w:szCs w:val="18"/>
              <w:lang w:val="bg-BG"/>
            </w:rPr>
          </w:pPr>
          <w:r w:rsidRPr="00E34A30">
            <w:rPr>
              <w:rFonts w:ascii="Arial" w:hAnsi="Arial" w:cs="Arial"/>
            </w:rPr>
            <w:object w:dxaOrig="8536" w:dyaOrig="4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1.25pt;height:93.75pt">
                <v:imagedata r:id="rId2" o:title=""/>
              </v:shape>
              <o:OLEObject Type="Embed" ProgID="PBrush" ShapeID="_x0000_i1025" DrawAspect="Content" ObjectID="_1585986428" r:id="rId3"/>
            </w:object>
          </w:r>
        </w:p>
      </w:tc>
      <w:tc>
        <w:tcPr>
          <w:tcW w:w="1274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6E61D5" w:rsidRDefault="006E61D5" w:rsidP="006E61D5">
          <w:pPr>
            <w:pStyle w:val="Pa1"/>
            <w:jc w:val="center"/>
            <w:rPr>
              <w:rFonts w:ascii="Times New Roman" w:hAnsi="Times New Roman"/>
              <w:b/>
              <w:noProof/>
              <w:sz w:val="20"/>
              <w:szCs w:val="20"/>
              <w:lang w:val="en-US"/>
            </w:rPr>
          </w:pPr>
          <w:r w:rsidRPr="007A1D01">
            <w:rPr>
              <w:rFonts w:ascii="Times New Roman" w:hAnsi="Times New Roman"/>
              <w:b/>
              <w:noProof/>
              <w:sz w:val="20"/>
              <w:szCs w:val="20"/>
              <w:lang w:val="en-US"/>
            </w:rPr>
            <w:t>МТИТС</w:t>
          </w:r>
        </w:p>
      </w:tc>
    </w:tr>
  </w:tbl>
  <w:p w:rsidR="006E61D5" w:rsidRDefault="006E61D5" w:rsidP="002402DC">
    <w:pPr>
      <w:pStyle w:val="Header"/>
      <w:numPr>
        <w:ilvl w:val="0"/>
        <w:numId w:val="0"/>
      </w:numPr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70" w:rsidRDefault="00E44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264BF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C0073"/>
    <w:multiLevelType w:val="hybridMultilevel"/>
    <w:tmpl w:val="BDC022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872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21D79"/>
    <w:multiLevelType w:val="multilevel"/>
    <w:tmpl w:val="3AA644C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2E3F7D"/>
    <w:multiLevelType w:val="hybridMultilevel"/>
    <w:tmpl w:val="B0AA0B02"/>
    <w:lvl w:ilvl="0" w:tplc="A0ECF7E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882D69"/>
    <w:multiLevelType w:val="hybridMultilevel"/>
    <w:tmpl w:val="9DDEEBA8"/>
    <w:lvl w:ilvl="0" w:tplc="9B58FDE2">
      <w:start w:val="1"/>
      <w:numFmt w:val="bullet"/>
      <w:lvlText w:val=""/>
      <w:lvlJc w:val="left"/>
      <w:pPr>
        <w:tabs>
          <w:tab w:val="num" w:pos="1080"/>
        </w:tabs>
        <w:ind w:left="587" w:hanging="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871A5"/>
    <w:multiLevelType w:val="hybridMultilevel"/>
    <w:tmpl w:val="7C9E3C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683"/>
    <w:multiLevelType w:val="multilevel"/>
    <w:tmpl w:val="3AA644C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90E37"/>
    <w:multiLevelType w:val="hybridMultilevel"/>
    <w:tmpl w:val="EABA86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263"/>
    <w:multiLevelType w:val="hybridMultilevel"/>
    <w:tmpl w:val="592EAC7E"/>
    <w:lvl w:ilvl="0" w:tplc="0D0A988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791DE7"/>
    <w:multiLevelType w:val="hybridMultilevel"/>
    <w:tmpl w:val="ECF4EA0E"/>
    <w:lvl w:ilvl="0" w:tplc="CAF83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8BADC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43663"/>
    <w:multiLevelType w:val="hybridMultilevel"/>
    <w:tmpl w:val="4B50932C"/>
    <w:lvl w:ilvl="0" w:tplc="04020013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B46BE6"/>
    <w:multiLevelType w:val="hybridMultilevel"/>
    <w:tmpl w:val="FB7C6A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2A58"/>
    <w:multiLevelType w:val="multilevel"/>
    <w:tmpl w:val="3AA644C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BC17EA"/>
    <w:multiLevelType w:val="hybridMultilevel"/>
    <w:tmpl w:val="690C61BC"/>
    <w:lvl w:ilvl="0" w:tplc="CAF83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8BADC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273D"/>
    <w:multiLevelType w:val="hybridMultilevel"/>
    <w:tmpl w:val="FB7C6A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2AE2"/>
    <w:multiLevelType w:val="hybridMultilevel"/>
    <w:tmpl w:val="574C5E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ADC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56897"/>
    <w:multiLevelType w:val="hybridMultilevel"/>
    <w:tmpl w:val="ED9AB0F4"/>
    <w:lvl w:ilvl="0" w:tplc="C7EAEAE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605A0"/>
    <w:multiLevelType w:val="hybridMultilevel"/>
    <w:tmpl w:val="4E6C124A"/>
    <w:lvl w:ilvl="0" w:tplc="0D0A988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7146A7"/>
    <w:multiLevelType w:val="hybridMultilevel"/>
    <w:tmpl w:val="CE620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B22B6F"/>
    <w:multiLevelType w:val="multilevel"/>
    <w:tmpl w:val="E702C4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3E1A8A"/>
    <w:multiLevelType w:val="hybridMultilevel"/>
    <w:tmpl w:val="1D0241E4"/>
    <w:lvl w:ilvl="0" w:tplc="C7EAEAE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32EEF"/>
    <w:multiLevelType w:val="hybridMultilevel"/>
    <w:tmpl w:val="8E8E5A4C"/>
    <w:lvl w:ilvl="0" w:tplc="0402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634D4F56"/>
    <w:multiLevelType w:val="hybridMultilevel"/>
    <w:tmpl w:val="ED9AB0F4"/>
    <w:lvl w:ilvl="0" w:tplc="C7EA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7C00"/>
    <w:multiLevelType w:val="hybridMultilevel"/>
    <w:tmpl w:val="ECF4EA0E"/>
    <w:lvl w:ilvl="0" w:tplc="CAF83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8BADC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5DF4"/>
    <w:multiLevelType w:val="multilevel"/>
    <w:tmpl w:val="3AA644C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DE11DC"/>
    <w:multiLevelType w:val="hybridMultilevel"/>
    <w:tmpl w:val="F91AFA7C"/>
    <w:lvl w:ilvl="0" w:tplc="77768C4E">
      <w:start w:val="1"/>
      <w:numFmt w:val="lowerRoman"/>
      <w:lvlText w:val="%1)"/>
      <w:lvlJc w:val="left"/>
      <w:pPr>
        <w:ind w:left="1946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4F77D09"/>
    <w:multiLevelType w:val="hybridMultilevel"/>
    <w:tmpl w:val="CBFE8D20"/>
    <w:lvl w:ilvl="0" w:tplc="B7385E5E">
      <w:start w:val="1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  <w:color w:val="auto"/>
      </w:rPr>
    </w:lvl>
    <w:lvl w:ilvl="1" w:tplc="78BADCA6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75894E6F"/>
    <w:multiLevelType w:val="multilevel"/>
    <w:tmpl w:val="3AA644C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9"/>
  </w:num>
  <w:num w:numId="5">
    <w:abstractNumId w:val="18"/>
  </w:num>
  <w:num w:numId="6">
    <w:abstractNumId w:val="0"/>
  </w:num>
  <w:num w:numId="7">
    <w:abstractNumId w:val="20"/>
  </w:num>
  <w:num w:numId="8">
    <w:abstractNumId w:val="8"/>
  </w:num>
  <w:num w:numId="9">
    <w:abstractNumId w:val="26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28"/>
  </w:num>
  <w:num w:numId="15">
    <w:abstractNumId w:val="21"/>
  </w:num>
  <w:num w:numId="16">
    <w:abstractNumId w:val="7"/>
  </w:num>
  <w:num w:numId="17">
    <w:abstractNumId w:val="23"/>
  </w:num>
  <w:num w:numId="18">
    <w:abstractNumId w:val="17"/>
  </w:num>
  <w:num w:numId="19">
    <w:abstractNumId w:val="15"/>
  </w:num>
  <w:num w:numId="20">
    <w:abstractNumId w:val="27"/>
  </w:num>
  <w:num w:numId="21">
    <w:abstractNumId w:val="22"/>
  </w:num>
  <w:num w:numId="22">
    <w:abstractNumId w:val="9"/>
  </w:num>
  <w:num w:numId="23">
    <w:abstractNumId w:val="13"/>
  </w:num>
  <w:num w:numId="24">
    <w:abstractNumId w:val="24"/>
  </w:num>
  <w:num w:numId="25">
    <w:abstractNumId w:val="2"/>
  </w:num>
  <w:num w:numId="26">
    <w:abstractNumId w:val="6"/>
  </w:num>
  <w:num w:numId="27">
    <w:abstractNumId w:val="25"/>
  </w:num>
  <w:num w:numId="28">
    <w:abstractNumId w:val="4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04"/>
    <w:rsid w:val="00002369"/>
    <w:rsid w:val="00003EFB"/>
    <w:rsid w:val="0001433F"/>
    <w:rsid w:val="000246D7"/>
    <w:rsid w:val="00024C96"/>
    <w:rsid w:val="00025CE6"/>
    <w:rsid w:val="0004083A"/>
    <w:rsid w:val="0005574A"/>
    <w:rsid w:val="000574F6"/>
    <w:rsid w:val="00061D2A"/>
    <w:rsid w:val="000708E6"/>
    <w:rsid w:val="000736D8"/>
    <w:rsid w:val="00073922"/>
    <w:rsid w:val="0008124D"/>
    <w:rsid w:val="000813D8"/>
    <w:rsid w:val="00082379"/>
    <w:rsid w:val="000825AA"/>
    <w:rsid w:val="00082B11"/>
    <w:rsid w:val="00082D72"/>
    <w:rsid w:val="00092650"/>
    <w:rsid w:val="000931B7"/>
    <w:rsid w:val="00093F8A"/>
    <w:rsid w:val="000A0F17"/>
    <w:rsid w:val="000A55C8"/>
    <w:rsid w:val="000B1484"/>
    <w:rsid w:val="000B6533"/>
    <w:rsid w:val="000B7B55"/>
    <w:rsid w:val="000D19DB"/>
    <w:rsid w:val="000D7BDE"/>
    <w:rsid w:val="00107919"/>
    <w:rsid w:val="00110567"/>
    <w:rsid w:val="00137546"/>
    <w:rsid w:val="00141A19"/>
    <w:rsid w:val="0015193A"/>
    <w:rsid w:val="00152DD9"/>
    <w:rsid w:val="00156A22"/>
    <w:rsid w:val="00163A62"/>
    <w:rsid w:val="001646A8"/>
    <w:rsid w:val="00166DD7"/>
    <w:rsid w:val="00175B7E"/>
    <w:rsid w:val="00177A5F"/>
    <w:rsid w:val="00185B3E"/>
    <w:rsid w:val="00194427"/>
    <w:rsid w:val="00197B05"/>
    <w:rsid w:val="001A1081"/>
    <w:rsid w:val="001A5290"/>
    <w:rsid w:val="001B1539"/>
    <w:rsid w:val="001B3EB5"/>
    <w:rsid w:val="001B63D0"/>
    <w:rsid w:val="001B7179"/>
    <w:rsid w:val="001C102F"/>
    <w:rsid w:val="001C7844"/>
    <w:rsid w:val="001D7966"/>
    <w:rsid w:val="001E0188"/>
    <w:rsid w:val="00202F6E"/>
    <w:rsid w:val="00216514"/>
    <w:rsid w:val="00216BB1"/>
    <w:rsid w:val="002214AF"/>
    <w:rsid w:val="0022167E"/>
    <w:rsid w:val="00223353"/>
    <w:rsid w:val="00224AA6"/>
    <w:rsid w:val="00225304"/>
    <w:rsid w:val="00227217"/>
    <w:rsid w:val="002308AB"/>
    <w:rsid w:val="00232957"/>
    <w:rsid w:val="00240088"/>
    <w:rsid w:val="002402DC"/>
    <w:rsid w:val="00245958"/>
    <w:rsid w:val="0025676F"/>
    <w:rsid w:val="00264F89"/>
    <w:rsid w:val="0027157C"/>
    <w:rsid w:val="00271B1D"/>
    <w:rsid w:val="002736E6"/>
    <w:rsid w:val="00275CFC"/>
    <w:rsid w:val="002761FD"/>
    <w:rsid w:val="00276726"/>
    <w:rsid w:val="002821CC"/>
    <w:rsid w:val="00291241"/>
    <w:rsid w:val="00297689"/>
    <w:rsid w:val="002A5228"/>
    <w:rsid w:val="002A76D8"/>
    <w:rsid w:val="002B5216"/>
    <w:rsid w:val="002C23F4"/>
    <w:rsid w:val="002D0E76"/>
    <w:rsid w:val="002E6437"/>
    <w:rsid w:val="002F238D"/>
    <w:rsid w:val="002F3904"/>
    <w:rsid w:val="00305EFA"/>
    <w:rsid w:val="00307003"/>
    <w:rsid w:val="00310C44"/>
    <w:rsid w:val="003113E6"/>
    <w:rsid w:val="00320474"/>
    <w:rsid w:val="00333ACF"/>
    <w:rsid w:val="00333F31"/>
    <w:rsid w:val="00334509"/>
    <w:rsid w:val="003352FE"/>
    <w:rsid w:val="00336C44"/>
    <w:rsid w:val="00337132"/>
    <w:rsid w:val="003414DE"/>
    <w:rsid w:val="003467B2"/>
    <w:rsid w:val="0035442D"/>
    <w:rsid w:val="00356867"/>
    <w:rsid w:val="00362440"/>
    <w:rsid w:val="003632C7"/>
    <w:rsid w:val="00363B68"/>
    <w:rsid w:val="00367BEB"/>
    <w:rsid w:val="00372457"/>
    <w:rsid w:val="003778D7"/>
    <w:rsid w:val="00380B88"/>
    <w:rsid w:val="00394753"/>
    <w:rsid w:val="003A5660"/>
    <w:rsid w:val="003B654B"/>
    <w:rsid w:val="003C298A"/>
    <w:rsid w:val="003D0516"/>
    <w:rsid w:val="003D113E"/>
    <w:rsid w:val="003D22BE"/>
    <w:rsid w:val="003D42C2"/>
    <w:rsid w:val="003E5D26"/>
    <w:rsid w:val="00404BDD"/>
    <w:rsid w:val="0040504C"/>
    <w:rsid w:val="00411042"/>
    <w:rsid w:val="00412AF3"/>
    <w:rsid w:val="004153EC"/>
    <w:rsid w:val="00417683"/>
    <w:rsid w:val="00417F1A"/>
    <w:rsid w:val="00420271"/>
    <w:rsid w:val="00424F87"/>
    <w:rsid w:val="00432BF7"/>
    <w:rsid w:val="004375DA"/>
    <w:rsid w:val="00445155"/>
    <w:rsid w:val="0044731D"/>
    <w:rsid w:val="00447AA3"/>
    <w:rsid w:val="004514A7"/>
    <w:rsid w:val="00451702"/>
    <w:rsid w:val="0045645F"/>
    <w:rsid w:val="00456675"/>
    <w:rsid w:val="0046351F"/>
    <w:rsid w:val="00472A35"/>
    <w:rsid w:val="00474F1F"/>
    <w:rsid w:val="004770BC"/>
    <w:rsid w:val="004A5750"/>
    <w:rsid w:val="004B2BE2"/>
    <w:rsid w:val="004D58D3"/>
    <w:rsid w:val="004F3FF2"/>
    <w:rsid w:val="00505A88"/>
    <w:rsid w:val="00511C66"/>
    <w:rsid w:val="00520780"/>
    <w:rsid w:val="0052102A"/>
    <w:rsid w:val="0052586E"/>
    <w:rsid w:val="00546E56"/>
    <w:rsid w:val="00547AB9"/>
    <w:rsid w:val="00552793"/>
    <w:rsid w:val="0055519C"/>
    <w:rsid w:val="00560C8B"/>
    <w:rsid w:val="00560D8E"/>
    <w:rsid w:val="0056411F"/>
    <w:rsid w:val="005667D1"/>
    <w:rsid w:val="00576835"/>
    <w:rsid w:val="00580C8B"/>
    <w:rsid w:val="00587CC5"/>
    <w:rsid w:val="00590575"/>
    <w:rsid w:val="005A5786"/>
    <w:rsid w:val="005B29CE"/>
    <w:rsid w:val="005C2CD1"/>
    <w:rsid w:val="005C696B"/>
    <w:rsid w:val="005D091A"/>
    <w:rsid w:val="005D49BC"/>
    <w:rsid w:val="005F3647"/>
    <w:rsid w:val="005F3A3E"/>
    <w:rsid w:val="006000F1"/>
    <w:rsid w:val="006028DB"/>
    <w:rsid w:val="00603682"/>
    <w:rsid w:val="006048B3"/>
    <w:rsid w:val="00613FD8"/>
    <w:rsid w:val="0062163A"/>
    <w:rsid w:val="00621851"/>
    <w:rsid w:val="006238E5"/>
    <w:rsid w:val="0062670F"/>
    <w:rsid w:val="00632EA7"/>
    <w:rsid w:val="00643487"/>
    <w:rsid w:val="00653DD0"/>
    <w:rsid w:val="0065457E"/>
    <w:rsid w:val="00654B40"/>
    <w:rsid w:val="006605B3"/>
    <w:rsid w:val="00663C0D"/>
    <w:rsid w:val="00666535"/>
    <w:rsid w:val="00674954"/>
    <w:rsid w:val="006759AB"/>
    <w:rsid w:val="00676700"/>
    <w:rsid w:val="006B052E"/>
    <w:rsid w:val="006B14D6"/>
    <w:rsid w:val="006B20AD"/>
    <w:rsid w:val="006B49B2"/>
    <w:rsid w:val="006C0F46"/>
    <w:rsid w:val="006D3D53"/>
    <w:rsid w:val="006D4297"/>
    <w:rsid w:val="006D5094"/>
    <w:rsid w:val="006E088A"/>
    <w:rsid w:val="006E2C66"/>
    <w:rsid w:val="006E61D5"/>
    <w:rsid w:val="006F047E"/>
    <w:rsid w:val="006F1E2F"/>
    <w:rsid w:val="006F3F0A"/>
    <w:rsid w:val="00702CC5"/>
    <w:rsid w:val="0071430E"/>
    <w:rsid w:val="007156CC"/>
    <w:rsid w:val="0072059E"/>
    <w:rsid w:val="00721162"/>
    <w:rsid w:val="0072776E"/>
    <w:rsid w:val="007413C7"/>
    <w:rsid w:val="00741555"/>
    <w:rsid w:val="00741D87"/>
    <w:rsid w:val="007445DA"/>
    <w:rsid w:val="0074649D"/>
    <w:rsid w:val="007472C8"/>
    <w:rsid w:val="007473DF"/>
    <w:rsid w:val="0074767D"/>
    <w:rsid w:val="00751811"/>
    <w:rsid w:val="007520AC"/>
    <w:rsid w:val="00761339"/>
    <w:rsid w:val="007623C3"/>
    <w:rsid w:val="00764E7F"/>
    <w:rsid w:val="0076636E"/>
    <w:rsid w:val="00776F85"/>
    <w:rsid w:val="00783504"/>
    <w:rsid w:val="00783F03"/>
    <w:rsid w:val="0079084F"/>
    <w:rsid w:val="00791681"/>
    <w:rsid w:val="007921EE"/>
    <w:rsid w:val="00793038"/>
    <w:rsid w:val="00793AFA"/>
    <w:rsid w:val="007947D7"/>
    <w:rsid w:val="007979E0"/>
    <w:rsid w:val="007A1D01"/>
    <w:rsid w:val="007A2443"/>
    <w:rsid w:val="007A3517"/>
    <w:rsid w:val="007C5846"/>
    <w:rsid w:val="007C6007"/>
    <w:rsid w:val="007D14B6"/>
    <w:rsid w:val="007D56DB"/>
    <w:rsid w:val="007E15D0"/>
    <w:rsid w:val="007E24B4"/>
    <w:rsid w:val="007E3F44"/>
    <w:rsid w:val="007F0F2A"/>
    <w:rsid w:val="007F32D5"/>
    <w:rsid w:val="00810F7E"/>
    <w:rsid w:val="00824B72"/>
    <w:rsid w:val="00825820"/>
    <w:rsid w:val="00825A0E"/>
    <w:rsid w:val="00831420"/>
    <w:rsid w:val="008368C3"/>
    <w:rsid w:val="0083726A"/>
    <w:rsid w:val="00844C01"/>
    <w:rsid w:val="0085029F"/>
    <w:rsid w:val="008516B0"/>
    <w:rsid w:val="00851DFB"/>
    <w:rsid w:val="00861E51"/>
    <w:rsid w:val="00863C2C"/>
    <w:rsid w:val="0086744D"/>
    <w:rsid w:val="008706DE"/>
    <w:rsid w:val="00876A81"/>
    <w:rsid w:val="0088550D"/>
    <w:rsid w:val="008871CA"/>
    <w:rsid w:val="00892B3F"/>
    <w:rsid w:val="00894978"/>
    <w:rsid w:val="008951C6"/>
    <w:rsid w:val="0089672B"/>
    <w:rsid w:val="008B16B3"/>
    <w:rsid w:val="008B4915"/>
    <w:rsid w:val="008C0CB5"/>
    <w:rsid w:val="008D2DE9"/>
    <w:rsid w:val="008D4418"/>
    <w:rsid w:val="008D5D81"/>
    <w:rsid w:val="008F0884"/>
    <w:rsid w:val="008F16DB"/>
    <w:rsid w:val="008F6A40"/>
    <w:rsid w:val="0090164E"/>
    <w:rsid w:val="00907666"/>
    <w:rsid w:val="00913D7F"/>
    <w:rsid w:val="00914730"/>
    <w:rsid w:val="00922852"/>
    <w:rsid w:val="00934FBD"/>
    <w:rsid w:val="0093571E"/>
    <w:rsid w:val="00937077"/>
    <w:rsid w:val="00943E48"/>
    <w:rsid w:val="00957187"/>
    <w:rsid w:val="009609C0"/>
    <w:rsid w:val="00965260"/>
    <w:rsid w:val="00965BD9"/>
    <w:rsid w:val="00967E47"/>
    <w:rsid w:val="00967F42"/>
    <w:rsid w:val="00974DB3"/>
    <w:rsid w:val="00981218"/>
    <w:rsid w:val="00985B5C"/>
    <w:rsid w:val="009874E9"/>
    <w:rsid w:val="009913CF"/>
    <w:rsid w:val="0099256F"/>
    <w:rsid w:val="00992C3E"/>
    <w:rsid w:val="00994FAA"/>
    <w:rsid w:val="009979B5"/>
    <w:rsid w:val="00997E88"/>
    <w:rsid w:val="009A03BD"/>
    <w:rsid w:val="009A4A40"/>
    <w:rsid w:val="009A6AD9"/>
    <w:rsid w:val="009C3318"/>
    <w:rsid w:val="009C44BE"/>
    <w:rsid w:val="009C62B6"/>
    <w:rsid w:val="009C7B19"/>
    <w:rsid w:val="009C7FA8"/>
    <w:rsid w:val="009D1266"/>
    <w:rsid w:val="009D4719"/>
    <w:rsid w:val="009E31C1"/>
    <w:rsid w:val="009E47BD"/>
    <w:rsid w:val="009E6E97"/>
    <w:rsid w:val="009F07E2"/>
    <w:rsid w:val="009F0821"/>
    <w:rsid w:val="009F2D49"/>
    <w:rsid w:val="009F372B"/>
    <w:rsid w:val="00A02AB9"/>
    <w:rsid w:val="00A06588"/>
    <w:rsid w:val="00A11E98"/>
    <w:rsid w:val="00A11EB2"/>
    <w:rsid w:val="00A2039E"/>
    <w:rsid w:val="00A20BB4"/>
    <w:rsid w:val="00A42CBA"/>
    <w:rsid w:val="00A5748D"/>
    <w:rsid w:val="00A60D89"/>
    <w:rsid w:val="00A62419"/>
    <w:rsid w:val="00A6591B"/>
    <w:rsid w:val="00A94EC3"/>
    <w:rsid w:val="00AA57EC"/>
    <w:rsid w:val="00AB2BBA"/>
    <w:rsid w:val="00AB38F0"/>
    <w:rsid w:val="00AB5EA1"/>
    <w:rsid w:val="00AB73CB"/>
    <w:rsid w:val="00AB79DA"/>
    <w:rsid w:val="00AC402B"/>
    <w:rsid w:val="00AC5D43"/>
    <w:rsid w:val="00AD4577"/>
    <w:rsid w:val="00AD4D2B"/>
    <w:rsid w:val="00AE00E5"/>
    <w:rsid w:val="00AE783F"/>
    <w:rsid w:val="00AF3448"/>
    <w:rsid w:val="00AF7097"/>
    <w:rsid w:val="00B0744B"/>
    <w:rsid w:val="00B14300"/>
    <w:rsid w:val="00B46809"/>
    <w:rsid w:val="00B50405"/>
    <w:rsid w:val="00B52D8E"/>
    <w:rsid w:val="00B52E0E"/>
    <w:rsid w:val="00B5343A"/>
    <w:rsid w:val="00B545CF"/>
    <w:rsid w:val="00B7124A"/>
    <w:rsid w:val="00B81AF9"/>
    <w:rsid w:val="00B86074"/>
    <w:rsid w:val="00B9431A"/>
    <w:rsid w:val="00BB1562"/>
    <w:rsid w:val="00BC1710"/>
    <w:rsid w:val="00BC2588"/>
    <w:rsid w:val="00BC34B7"/>
    <w:rsid w:val="00BC3A80"/>
    <w:rsid w:val="00BD6BC9"/>
    <w:rsid w:val="00BE3590"/>
    <w:rsid w:val="00BE52D7"/>
    <w:rsid w:val="00BE5AFD"/>
    <w:rsid w:val="00C1585B"/>
    <w:rsid w:val="00C33F2A"/>
    <w:rsid w:val="00C35543"/>
    <w:rsid w:val="00C41306"/>
    <w:rsid w:val="00C41459"/>
    <w:rsid w:val="00C4483F"/>
    <w:rsid w:val="00C52BF8"/>
    <w:rsid w:val="00C545CD"/>
    <w:rsid w:val="00C63695"/>
    <w:rsid w:val="00C65F21"/>
    <w:rsid w:val="00C6679B"/>
    <w:rsid w:val="00C67743"/>
    <w:rsid w:val="00C80126"/>
    <w:rsid w:val="00C8612A"/>
    <w:rsid w:val="00C86A6C"/>
    <w:rsid w:val="00C954B2"/>
    <w:rsid w:val="00CA1D39"/>
    <w:rsid w:val="00CA7E11"/>
    <w:rsid w:val="00CB1200"/>
    <w:rsid w:val="00CB19D0"/>
    <w:rsid w:val="00CB1D7C"/>
    <w:rsid w:val="00CD26AF"/>
    <w:rsid w:val="00CD55C2"/>
    <w:rsid w:val="00CD64CB"/>
    <w:rsid w:val="00CE0C11"/>
    <w:rsid w:val="00CE1466"/>
    <w:rsid w:val="00CE60E2"/>
    <w:rsid w:val="00CF23FD"/>
    <w:rsid w:val="00CF6CF8"/>
    <w:rsid w:val="00D0421E"/>
    <w:rsid w:val="00D07D0A"/>
    <w:rsid w:val="00D11918"/>
    <w:rsid w:val="00D12AA5"/>
    <w:rsid w:val="00D205A5"/>
    <w:rsid w:val="00D25997"/>
    <w:rsid w:val="00D25A8B"/>
    <w:rsid w:val="00D27A8D"/>
    <w:rsid w:val="00D3013A"/>
    <w:rsid w:val="00D34657"/>
    <w:rsid w:val="00D41FEB"/>
    <w:rsid w:val="00D5015C"/>
    <w:rsid w:val="00D53594"/>
    <w:rsid w:val="00D62868"/>
    <w:rsid w:val="00D6736B"/>
    <w:rsid w:val="00D6767F"/>
    <w:rsid w:val="00D82A3C"/>
    <w:rsid w:val="00D86C8B"/>
    <w:rsid w:val="00D90C69"/>
    <w:rsid w:val="00D917DE"/>
    <w:rsid w:val="00D9331C"/>
    <w:rsid w:val="00D946B2"/>
    <w:rsid w:val="00D95628"/>
    <w:rsid w:val="00D95B9A"/>
    <w:rsid w:val="00DA134C"/>
    <w:rsid w:val="00DA21F0"/>
    <w:rsid w:val="00DA7D5C"/>
    <w:rsid w:val="00DA7E14"/>
    <w:rsid w:val="00DB47C0"/>
    <w:rsid w:val="00DB4F4C"/>
    <w:rsid w:val="00DC6010"/>
    <w:rsid w:val="00DC737E"/>
    <w:rsid w:val="00DC7439"/>
    <w:rsid w:val="00DD156A"/>
    <w:rsid w:val="00DD34D8"/>
    <w:rsid w:val="00DD4E63"/>
    <w:rsid w:val="00DD7C2E"/>
    <w:rsid w:val="00DE7EB4"/>
    <w:rsid w:val="00DF1C9C"/>
    <w:rsid w:val="00DF322B"/>
    <w:rsid w:val="00DF335F"/>
    <w:rsid w:val="00DF49DD"/>
    <w:rsid w:val="00E04183"/>
    <w:rsid w:val="00E11473"/>
    <w:rsid w:val="00E120E4"/>
    <w:rsid w:val="00E12B90"/>
    <w:rsid w:val="00E17A5B"/>
    <w:rsid w:val="00E34A30"/>
    <w:rsid w:val="00E36647"/>
    <w:rsid w:val="00E44A70"/>
    <w:rsid w:val="00E5244B"/>
    <w:rsid w:val="00E53B06"/>
    <w:rsid w:val="00E56E30"/>
    <w:rsid w:val="00E61FC8"/>
    <w:rsid w:val="00E737F2"/>
    <w:rsid w:val="00E9037C"/>
    <w:rsid w:val="00EA0CC8"/>
    <w:rsid w:val="00EA3427"/>
    <w:rsid w:val="00EB152D"/>
    <w:rsid w:val="00EB1552"/>
    <w:rsid w:val="00EB6AC0"/>
    <w:rsid w:val="00EC4F76"/>
    <w:rsid w:val="00ED10A9"/>
    <w:rsid w:val="00ED2EBC"/>
    <w:rsid w:val="00EE366F"/>
    <w:rsid w:val="00EF6EBC"/>
    <w:rsid w:val="00F01A06"/>
    <w:rsid w:val="00F03EAA"/>
    <w:rsid w:val="00F058F0"/>
    <w:rsid w:val="00F13F24"/>
    <w:rsid w:val="00F16B9A"/>
    <w:rsid w:val="00F17FD2"/>
    <w:rsid w:val="00F20202"/>
    <w:rsid w:val="00F31DF5"/>
    <w:rsid w:val="00F40A4D"/>
    <w:rsid w:val="00F414C9"/>
    <w:rsid w:val="00F42925"/>
    <w:rsid w:val="00F54FAA"/>
    <w:rsid w:val="00F56D15"/>
    <w:rsid w:val="00F61800"/>
    <w:rsid w:val="00F64FCB"/>
    <w:rsid w:val="00F66592"/>
    <w:rsid w:val="00F805F4"/>
    <w:rsid w:val="00F86805"/>
    <w:rsid w:val="00F879E9"/>
    <w:rsid w:val="00F90D15"/>
    <w:rsid w:val="00F96284"/>
    <w:rsid w:val="00FB04BF"/>
    <w:rsid w:val="00FB6947"/>
    <w:rsid w:val="00FB744F"/>
    <w:rsid w:val="00FC0BE2"/>
    <w:rsid w:val="00FC16D3"/>
    <w:rsid w:val="00FC5A4F"/>
    <w:rsid w:val="00FD254E"/>
    <w:rsid w:val="00FE6D41"/>
    <w:rsid w:val="00FF1A29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3EE7CC1F-9BBA-4AA2-AE18-450DCC6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2B"/>
    <w:rPr>
      <w:lang w:val="pl-PL" w:eastAsia="pl-PL"/>
    </w:rPr>
  </w:style>
  <w:style w:type="paragraph" w:styleId="Heading1">
    <w:name w:val="heading 1"/>
    <w:basedOn w:val="Normal"/>
    <w:next w:val="Normal"/>
    <w:link w:val="Heading1Char"/>
    <w:qFormat/>
    <w:rsid w:val="00783504"/>
    <w:pPr>
      <w:keepNext/>
      <w:widowControl w:val="0"/>
      <w:shd w:val="clear" w:color="auto" w:fill="FFFFFF"/>
      <w:tabs>
        <w:tab w:val="left" w:pos="3119"/>
      </w:tabs>
      <w:spacing w:after="120"/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83504"/>
    <w:pPr>
      <w:tabs>
        <w:tab w:val="center" w:pos="4536"/>
        <w:tab w:val="right" w:pos="9072"/>
      </w:tabs>
      <w:ind w:firstLine="709"/>
      <w:jc w:val="both"/>
    </w:pPr>
    <w:rPr>
      <w:sz w:val="24"/>
    </w:rPr>
  </w:style>
  <w:style w:type="paragraph" w:customStyle="1" w:styleId="Pa1">
    <w:name w:val="Pa1"/>
    <w:basedOn w:val="Normal"/>
    <w:next w:val="Normal"/>
    <w:rsid w:val="00783504"/>
    <w:pPr>
      <w:autoSpaceDE w:val="0"/>
      <w:autoSpaceDN w:val="0"/>
      <w:adjustRightInd w:val="0"/>
      <w:spacing w:line="241" w:lineRule="atLeast"/>
    </w:pPr>
    <w:rPr>
      <w:rFonts w:ascii="OWBUTZ+HelenBg-Regular" w:hAnsi="OWBUTZ+HelenBg-Regular"/>
      <w:sz w:val="24"/>
      <w:szCs w:val="24"/>
      <w:lang w:val="bg-BG" w:eastAsia="bg-BG"/>
    </w:rPr>
  </w:style>
  <w:style w:type="character" w:customStyle="1" w:styleId="A9">
    <w:name w:val="A9"/>
    <w:rsid w:val="00783504"/>
    <w:rPr>
      <w:rFonts w:cs="OWBUTZ+HelenBg-Regular"/>
      <w:color w:val="000000"/>
      <w:sz w:val="19"/>
      <w:szCs w:val="19"/>
    </w:rPr>
  </w:style>
  <w:style w:type="paragraph" w:customStyle="1" w:styleId="CharCharChar1CharCharChar">
    <w:name w:val="Char Char Char1 Char Char Char"/>
    <w:basedOn w:val="Normal"/>
    <w:rsid w:val="0078350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Heading1Char">
    <w:name w:val="Heading 1 Char"/>
    <w:link w:val="Heading1"/>
    <w:rsid w:val="00783504"/>
    <w:rPr>
      <w:b/>
      <w:color w:val="000000"/>
      <w:sz w:val="24"/>
      <w:lang w:val="pl-PL" w:eastAsia="pl-PL" w:bidi="ar-SA"/>
    </w:rPr>
  </w:style>
  <w:style w:type="character" w:customStyle="1" w:styleId="FooterChar">
    <w:name w:val="Footer Char"/>
    <w:link w:val="Footer"/>
    <w:rsid w:val="00783504"/>
    <w:rPr>
      <w:sz w:val="24"/>
      <w:lang w:val="pl-PL" w:eastAsia="pl-PL" w:bidi="ar-SA"/>
    </w:rPr>
  </w:style>
  <w:style w:type="paragraph" w:styleId="Header">
    <w:name w:val="header"/>
    <w:basedOn w:val="ListNumber"/>
    <w:link w:val="HeaderChar"/>
    <w:rsid w:val="009A03BD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  <w:rsid w:val="007F32D5"/>
  </w:style>
  <w:style w:type="paragraph" w:customStyle="1" w:styleId="CharChar4Char">
    <w:name w:val="Char Char4 Char"/>
    <w:basedOn w:val="Normal"/>
    <w:rsid w:val="0093571E"/>
    <w:pPr>
      <w:spacing w:after="160" w:line="240" w:lineRule="exact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72116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12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AF3"/>
  </w:style>
  <w:style w:type="character" w:customStyle="1" w:styleId="CommentTextChar">
    <w:name w:val="Comment Text Char"/>
    <w:link w:val="CommentText"/>
    <w:rsid w:val="00412AF3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412AF3"/>
    <w:rPr>
      <w:b/>
      <w:bCs/>
    </w:rPr>
  </w:style>
  <w:style w:type="character" w:customStyle="1" w:styleId="CommentSubjectChar">
    <w:name w:val="Comment Subject Char"/>
    <w:link w:val="CommentSubject"/>
    <w:rsid w:val="00412AF3"/>
    <w:rPr>
      <w:b/>
      <w:bCs/>
      <w:lang w:val="pl-PL" w:eastAsia="pl-PL"/>
    </w:rPr>
  </w:style>
  <w:style w:type="paragraph" w:customStyle="1" w:styleId="Tableline">
    <w:name w:val="Table line"/>
    <w:basedOn w:val="Normal"/>
    <w:rsid w:val="00367BEB"/>
    <w:pPr>
      <w:suppressAutoHyphens/>
      <w:overflowPunct w:val="0"/>
      <w:autoSpaceDE w:val="0"/>
      <w:spacing w:before="60" w:after="60"/>
      <w:textAlignment w:val="baseline"/>
    </w:pPr>
    <w:rPr>
      <w:sz w:val="22"/>
      <w:szCs w:val="22"/>
      <w:lang w:val="en-GB" w:eastAsia="ar-SA"/>
    </w:rPr>
  </w:style>
  <w:style w:type="paragraph" w:styleId="ListParagraph">
    <w:name w:val="List Paragraph"/>
    <w:basedOn w:val="Normal"/>
    <w:uiPriority w:val="34"/>
    <w:qFormat/>
    <w:rsid w:val="007979E0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lang w:val="bg-BG" w:eastAsia="cs-CZ"/>
    </w:rPr>
  </w:style>
  <w:style w:type="paragraph" w:customStyle="1" w:styleId="ListNumber1">
    <w:name w:val="List Number 1"/>
    <w:basedOn w:val="Normal"/>
    <w:rsid w:val="001C7844"/>
    <w:pPr>
      <w:numPr>
        <w:numId w:val="4"/>
      </w:numPr>
      <w:spacing w:after="240"/>
      <w:jc w:val="both"/>
    </w:pPr>
    <w:rPr>
      <w:sz w:val="24"/>
      <w:szCs w:val="22"/>
      <w:lang w:val="x-none" w:eastAsia="bg-BG"/>
    </w:rPr>
  </w:style>
  <w:style w:type="paragraph" w:customStyle="1" w:styleId="ListNumber1Level2">
    <w:name w:val="List Number 1 (Level 2)"/>
    <w:basedOn w:val="Normal"/>
    <w:rsid w:val="001C7844"/>
    <w:pPr>
      <w:numPr>
        <w:ilvl w:val="1"/>
        <w:numId w:val="4"/>
      </w:numPr>
      <w:spacing w:after="240"/>
      <w:jc w:val="both"/>
    </w:pPr>
    <w:rPr>
      <w:sz w:val="24"/>
      <w:szCs w:val="22"/>
      <w:lang w:val="x-none" w:eastAsia="bg-BG"/>
    </w:rPr>
  </w:style>
  <w:style w:type="paragraph" w:customStyle="1" w:styleId="ListNumber1Level3">
    <w:name w:val="List Number 1 (Level 3)"/>
    <w:basedOn w:val="Normal"/>
    <w:rsid w:val="001C7844"/>
    <w:pPr>
      <w:numPr>
        <w:ilvl w:val="2"/>
        <w:numId w:val="4"/>
      </w:numPr>
      <w:spacing w:after="240"/>
      <w:jc w:val="both"/>
    </w:pPr>
    <w:rPr>
      <w:sz w:val="24"/>
      <w:szCs w:val="22"/>
      <w:lang w:val="x-none" w:eastAsia="bg-BG"/>
    </w:rPr>
  </w:style>
  <w:style w:type="paragraph" w:customStyle="1" w:styleId="ListNumber1Level4">
    <w:name w:val="List Number 1 (Level 4)"/>
    <w:basedOn w:val="Normal"/>
    <w:rsid w:val="001C7844"/>
    <w:pPr>
      <w:numPr>
        <w:ilvl w:val="3"/>
        <w:numId w:val="4"/>
      </w:numPr>
      <w:spacing w:after="240"/>
      <w:jc w:val="both"/>
    </w:pPr>
    <w:rPr>
      <w:sz w:val="24"/>
      <w:szCs w:val="22"/>
      <w:lang w:val="x-none" w:eastAsia="bg-BG"/>
    </w:rPr>
  </w:style>
  <w:style w:type="paragraph" w:styleId="ListNumber">
    <w:name w:val="List Number"/>
    <w:basedOn w:val="Normal"/>
    <w:rsid w:val="009A03BD"/>
    <w:pPr>
      <w:numPr>
        <w:numId w:val="6"/>
      </w:numPr>
      <w:contextualSpacing/>
    </w:pPr>
  </w:style>
  <w:style w:type="character" w:customStyle="1" w:styleId="HeaderChar">
    <w:name w:val="Header Char"/>
    <w:basedOn w:val="DefaultParagraphFont"/>
    <w:link w:val="Header"/>
    <w:rsid w:val="00363B68"/>
    <w:rPr>
      <w:sz w:val="24"/>
      <w:lang w:val="pl-PL" w:eastAsia="pl-PL"/>
    </w:rPr>
  </w:style>
  <w:style w:type="character" w:customStyle="1" w:styleId="BalloonTextChar">
    <w:name w:val="Balloon Text Char"/>
    <w:basedOn w:val="DefaultParagraphFont"/>
    <w:link w:val="BalloonText"/>
    <w:semiHidden/>
    <w:rsid w:val="00363B68"/>
    <w:rPr>
      <w:rFonts w:ascii="Tahoma" w:hAnsi="Tahoma" w:cs="Tahoma"/>
      <w:sz w:val="16"/>
      <w:szCs w:val="16"/>
      <w:lang w:val="pl-PL" w:eastAsia="pl-PL"/>
    </w:rPr>
  </w:style>
  <w:style w:type="paragraph" w:styleId="FootnoteText">
    <w:name w:val="footnote text"/>
    <w:basedOn w:val="Normal"/>
    <w:link w:val="FootnoteTextChar"/>
    <w:rsid w:val="00363B68"/>
  </w:style>
  <w:style w:type="character" w:customStyle="1" w:styleId="FootnoteTextChar">
    <w:name w:val="Footnote Text Char"/>
    <w:basedOn w:val="DefaultParagraphFont"/>
    <w:link w:val="FootnoteText"/>
    <w:rsid w:val="00363B68"/>
    <w:rPr>
      <w:lang w:val="pl-PL" w:eastAsia="pl-PL"/>
    </w:rPr>
  </w:style>
  <w:style w:type="character" w:styleId="FootnoteReference">
    <w:name w:val="footnote reference"/>
    <w:rsid w:val="00363B68"/>
    <w:rPr>
      <w:vertAlign w:val="superscript"/>
    </w:rPr>
  </w:style>
  <w:style w:type="character" w:styleId="Strong">
    <w:name w:val="Strong"/>
    <w:basedOn w:val="DefaultParagraphFont"/>
    <w:qFormat/>
    <w:rsid w:val="00363B6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210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210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4F3FF2"/>
    <w:pPr>
      <w:spacing w:before="100" w:beforeAutospacing="1" w:after="100" w:afterAutospacing="1"/>
      <w:jc w:val="center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B15D-2DB5-4BBB-89C0-4E187964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17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</vt:lpstr>
    </vt:vector>
  </TitlesOfParts>
  <Company>MTITC</Company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vignatov</dc:creator>
  <cp:keywords/>
  <dc:description/>
  <cp:lastModifiedBy>Daniela Kalaydzhiyska-Ivanova</cp:lastModifiedBy>
  <cp:revision>8</cp:revision>
  <cp:lastPrinted>2016-06-03T12:54:00Z</cp:lastPrinted>
  <dcterms:created xsi:type="dcterms:W3CDTF">2015-07-10T13:49:00Z</dcterms:created>
  <dcterms:modified xsi:type="dcterms:W3CDTF">2018-04-23T08:01:00Z</dcterms:modified>
</cp:coreProperties>
</file>